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FE98B" w14:textId="27D9BA4B" w:rsidR="00497684" w:rsidRPr="00992253" w:rsidRDefault="007D4DB7" w:rsidP="007528AA">
      <w:pPr>
        <w:pStyle w:val="Heading1"/>
      </w:pPr>
      <w:r>
        <w:t>Helpsheet</w:t>
      </w:r>
      <w:r w:rsidR="00E86477">
        <w:t xml:space="preserve">: </w:t>
      </w:r>
      <w:r w:rsidR="00CE215A">
        <w:t>Ceasing practice</w:t>
      </w:r>
    </w:p>
    <w:p w14:paraId="03855EB1" w14:textId="29AE0040" w:rsidR="00497684" w:rsidRPr="007528AA" w:rsidRDefault="00497684" w:rsidP="007528AA">
      <w:pPr>
        <w:pStyle w:val="ICASBoxOutBody"/>
      </w:pPr>
      <w:r w:rsidRPr="007528AA">
        <w:rPr>
          <w:b/>
          <w:bCs/>
        </w:rPr>
        <w:t>Issued</w:t>
      </w:r>
      <w:r w:rsidR="00DD2889" w:rsidRPr="007528AA">
        <w:rPr>
          <w:b/>
          <w:bCs/>
        </w:rPr>
        <w:t>:</w:t>
      </w:r>
      <w:r w:rsidRPr="007528AA">
        <w:t xml:space="preserve"> </w:t>
      </w:r>
      <w:r w:rsidR="00CE215A">
        <w:t>June 2025</w:t>
      </w:r>
    </w:p>
    <w:p w14:paraId="57865399" w14:textId="060CD6CC" w:rsidR="003F692B" w:rsidRPr="007528AA" w:rsidRDefault="003F692B" w:rsidP="007528AA">
      <w:pPr>
        <w:pStyle w:val="ICASBoxOutBody"/>
      </w:pPr>
      <w:r w:rsidRPr="007528AA">
        <w:rPr>
          <w:b/>
          <w:bCs/>
        </w:rPr>
        <w:t>Last issued</w:t>
      </w:r>
      <w:r w:rsidR="00DD2889" w:rsidRPr="007528AA">
        <w:rPr>
          <w:b/>
          <w:bCs/>
        </w:rPr>
        <w:t>:</w:t>
      </w:r>
      <w:r w:rsidRPr="007528AA">
        <w:t xml:space="preserve"> </w:t>
      </w:r>
      <w:r w:rsidR="00CE215A">
        <w:t>June 2025</w:t>
      </w:r>
    </w:p>
    <w:p w14:paraId="2827816E" w14:textId="216D0C96" w:rsidR="00497684" w:rsidRPr="007528AA" w:rsidRDefault="00497684" w:rsidP="007528AA">
      <w:pPr>
        <w:pStyle w:val="ICASBoxOutBody"/>
      </w:pPr>
      <w:r w:rsidRPr="007528AA">
        <w:rPr>
          <w:b/>
          <w:bCs/>
        </w:rPr>
        <w:t>Last reviewed</w:t>
      </w:r>
      <w:r w:rsidR="00DD2889" w:rsidRPr="007528AA">
        <w:rPr>
          <w:b/>
          <w:bCs/>
        </w:rPr>
        <w:t>:</w:t>
      </w:r>
      <w:r w:rsidRPr="007528AA">
        <w:t xml:space="preserve"> </w:t>
      </w:r>
      <w:r w:rsidR="00CE215A">
        <w:t>June 2025</w:t>
      </w:r>
    </w:p>
    <w:p w14:paraId="612946B5" w14:textId="77777777" w:rsidR="007030EE" w:rsidRDefault="007030EE" w:rsidP="00143FFD">
      <w:pPr>
        <w:pStyle w:val="ICASBody"/>
      </w:pPr>
    </w:p>
    <w:p w14:paraId="5F53CE8A" w14:textId="7D632FAF" w:rsidR="00033FD4" w:rsidRDefault="003F692B" w:rsidP="00DD2889">
      <w:pPr>
        <w:pStyle w:val="Heading2"/>
        <w:spacing w:before="120" w:after="120"/>
        <w:rPr>
          <w:b w:val="0"/>
          <w:bCs w:val="0"/>
        </w:rPr>
      </w:pPr>
      <w:r w:rsidRPr="00992253">
        <w:t>Introduction</w:t>
      </w:r>
    </w:p>
    <w:p w14:paraId="25A9F30A" w14:textId="6B339D67" w:rsidR="008C07FE" w:rsidRDefault="008E56BD" w:rsidP="00F04BFF">
      <w:pPr>
        <w:pStyle w:val="ICASBody"/>
      </w:pPr>
      <w:r>
        <w:t>Whether</w:t>
      </w:r>
      <w:r w:rsidR="003F4074">
        <w:t xml:space="preserve"> you are retiring or ceasing your practice for other reasons, it’s important to</w:t>
      </w:r>
      <w:r w:rsidR="00FA3A51">
        <w:t xml:space="preserve"> be aware of both ethical and practical implications of doing so</w:t>
      </w:r>
      <w:r w:rsidR="00BB38EA">
        <w:t>.</w:t>
      </w:r>
      <w:r w:rsidR="00F04BFF">
        <w:t xml:space="preserve"> This helpsheet </w:t>
      </w:r>
      <w:r w:rsidR="00031556">
        <w:t>will help you to consider these important aspects</w:t>
      </w:r>
      <w:r w:rsidR="00347273">
        <w:t>.</w:t>
      </w:r>
    </w:p>
    <w:p w14:paraId="174B503D" w14:textId="1136E7C5" w:rsidR="007D4DB7" w:rsidRPr="00992253" w:rsidRDefault="004F55F3" w:rsidP="00096504">
      <w:pPr>
        <w:pStyle w:val="Heading2"/>
      </w:pPr>
      <w:r>
        <w:t>Routes to c</w:t>
      </w:r>
      <w:r w:rsidR="00BF10D9">
        <w:t xml:space="preserve">easing to </w:t>
      </w:r>
      <w:r>
        <w:t>practice</w:t>
      </w:r>
    </w:p>
    <w:p w14:paraId="7BA0E462" w14:textId="45615E5C" w:rsidR="00144954" w:rsidRDefault="00BF10D9" w:rsidP="007030EE">
      <w:pPr>
        <w:pStyle w:val="ICASBody"/>
      </w:pPr>
      <w:r>
        <w:t>When deciding to cease practice</w:t>
      </w:r>
      <w:r w:rsidR="00B96E48">
        <w:t xml:space="preserve">, there are multiple ways that this can be achieved. Whichever route is chosen </w:t>
      </w:r>
      <w:r w:rsidR="006878A3">
        <w:t xml:space="preserve">and is most appropriate </w:t>
      </w:r>
      <w:r w:rsidR="00B96E48">
        <w:t>will depend on a number of factors</w:t>
      </w:r>
      <w:r w:rsidR="00716293">
        <w:t xml:space="preserve"> specific to you. It is important however to start thinking about this as early as possible. It often takes much longer than you might think and planning and preparation is key.</w:t>
      </w:r>
    </w:p>
    <w:p w14:paraId="22FD6C51" w14:textId="1BD83A9B" w:rsidR="002E1A73" w:rsidRDefault="002E1A73" w:rsidP="007030EE">
      <w:pPr>
        <w:pStyle w:val="ICASBody"/>
      </w:pPr>
      <w:r>
        <w:t>Generally, the options which may be considered are:</w:t>
      </w:r>
    </w:p>
    <w:p w14:paraId="16788018" w14:textId="2E549E12" w:rsidR="002E1A73" w:rsidRDefault="00B5211B" w:rsidP="004665E7">
      <w:pPr>
        <w:pStyle w:val="Title"/>
      </w:pPr>
      <w:r w:rsidRPr="00EF1533">
        <w:rPr>
          <w:rStyle w:val="SubtleEmphasis"/>
        </w:rPr>
        <w:t>Managed wind down</w:t>
      </w:r>
      <w:r w:rsidR="00B34421">
        <w:t xml:space="preserve"> – often planned over several years with clients either </w:t>
      </w:r>
      <w:r w:rsidR="008002B2">
        <w:t xml:space="preserve">ceasing or retiring themselves, or </w:t>
      </w:r>
      <w:r w:rsidR="00C00EFB">
        <w:t>remaining clients being informed of the decision to cease practice and</w:t>
      </w:r>
      <w:r w:rsidR="005975D5">
        <w:t xml:space="preserve"> that they will require to appoint a new professional accountant</w:t>
      </w:r>
      <w:r w:rsidR="004B29B5">
        <w:t>.</w:t>
      </w:r>
    </w:p>
    <w:p w14:paraId="6E9E5AEB" w14:textId="22FC5BE6" w:rsidR="00C06AA8" w:rsidRDefault="004B29B5" w:rsidP="004665E7">
      <w:pPr>
        <w:pStyle w:val="Title"/>
      </w:pPr>
      <w:r w:rsidRPr="00EF1533">
        <w:rPr>
          <w:rStyle w:val="SubtleEmphasis"/>
        </w:rPr>
        <w:t>Accelerated closure</w:t>
      </w:r>
      <w:r>
        <w:t xml:space="preserve"> – while in many</w:t>
      </w:r>
      <w:r w:rsidR="00C4692D">
        <w:t xml:space="preserve"> ways this is </w:t>
      </w:r>
      <w:r w:rsidR="0060405B">
        <w:t>like</w:t>
      </w:r>
      <w:r w:rsidR="00C4692D">
        <w:t xml:space="preserve"> the managed wind down, the speed at which the c</w:t>
      </w:r>
      <w:r w:rsidR="0060405B">
        <w:t xml:space="preserve">essation needs to take effect </w:t>
      </w:r>
      <w:r w:rsidR="00C4692D">
        <w:t xml:space="preserve">is much faster and often </w:t>
      </w:r>
      <w:r w:rsidR="00BA78A3">
        <w:t>due to unplanned circumstances, such as unexpected ill health or other life factors.</w:t>
      </w:r>
    </w:p>
    <w:p w14:paraId="635941A9" w14:textId="3053D032" w:rsidR="00C2014B" w:rsidRDefault="00C06AA8" w:rsidP="004665E7">
      <w:pPr>
        <w:pStyle w:val="Title"/>
      </w:pPr>
      <w:r w:rsidRPr="00EF1533">
        <w:rPr>
          <w:rStyle w:val="SubtleEmphasis"/>
        </w:rPr>
        <w:t>Sale of fees</w:t>
      </w:r>
      <w:r>
        <w:t xml:space="preserve"> - </w:t>
      </w:r>
      <w:r w:rsidR="00BA78A3">
        <w:t xml:space="preserve"> </w:t>
      </w:r>
      <w:r w:rsidR="00B042A1">
        <w:t>arrangements may be made with another firm to take over</w:t>
      </w:r>
      <w:r w:rsidR="00506549">
        <w:t xml:space="preserve"> your clients, including payment f</w:t>
      </w:r>
      <w:r w:rsidR="005126DC">
        <w:t xml:space="preserve">or the arrangement. </w:t>
      </w:r>
      <w:r w:rsidR="00C2014B">
        <w:t>This may take the form of a sale of business assets agreement</w:t>
      </w:r>
      <w:r w:rsidR="00460AA1">
        <w:t xml:space="preserve"> where legal advice is likely to be taken in drafting the agreement.</w:t>
      </w:r>
      <w:r w:rsidR="00DD6881">
        <w:t xml:space="preserve"> </w:t>
      </w:r>
      <w:r w:rsidR="0009157A">
        <w:t>A</w:t>
      </w:r>
      <w:r w:rsidR="00DD6881">
        <w:t xml:space="preserve"> client </w:t>
      </w:r>
      <w:r w:rsidR="00AE43B2">
        <w:t xml:space="preserve">is not </w:t>
      </w:r>
      <w:r w:rsidR="00DD6881">
        <w:t>obligated to transfer to the purchaser</w:t>
      </w:r>
      <w:r w:rsidR="009E606C">
        <w:t xml:space="preserve"> and the contractual arrangements between you and the </w:t>
      </w:r>
      <w:r w:rsidR="00002379">
        <w:t xml:space="preserve">client will terminate. </w:t>
      </w:r>
    </w:p>
    <w:p w14:paraId="78A81007" w14:textId="5BFDEA81" w:rsidR="004B29B5" w:rsidRDefault="00460AA1" w:rsidP="004665E7">
      <w:pPr>
        <w:pStyle w:val="Title"/>
      </w:pPr>
      <w:r w:rsidRPr="0065740F">
        <w:rPr>
          <w:rStyle w:val="SubtleEmphasis"/>
        </w:rPr>
        <w:t xml:space="preserve">Sale of the </w:t>
      </w:r>
      <w:r w:rsidR="0065740F" w:rsidRPr="0065740F">
        <w:rPr>
          <w:rStyle w:val="SubtleEmphasis"/>
        </w:rPr>
        <w:t>business</w:t>
      </w:r>
      <w:r w:rsidR="0065740F">
        <w:rPr>
          <w:rStyle w:val="SubtleEmphasis"/>
        </w:rPr>
        <w:t xml:space="preserve"> entity</w:t>
      </w:r>
      <w:r w:rsidR="0065740F">
        <w:t xml:space="preserve"> </w:t>
      </w:r>
      <w:r w:rsidR="00E7488D">
        <w:t>–</w:t>
      </w:r>
      <w:r w:rsidR="0065740F">
        <w:t xml:space="preserve"> </w:t>
      </w:r>
      <w:r w:rsidR="00E7488D">
        <w:t xml:space="preserve">similar to the sale of fees but where the whole business entity </w:t>
      </w:r>
      <w:r w:rsidR="00585858">
        <w:t>is transferred to new owner</w:t>
      </w:r>
      <w:r w:rsidR="008C00AB">
        <w:t>(s).</w:t>
      </w:r>
    </w:p>
    <w:p w14:paraId="417C029B" w14:textId="77777777" w:rsidR="000D1895" w:rsidRDefault="000D1895" w:rsidP="000D1895">
      <w:pPr>
        <w:pStyle w:val="Heading3"/>
      </w:pPr>
    </w:p>
    <w:p w14:paraId="5A5BC49F" w14:textId="46D3505E" w:rsidR="00FD3B6A" w:rsidRPr="00FD3B6A" w:rsidRDefault="00357ABB" w:rsidP="0099542F">
      <w:pPr>
        <w:pStyle w:val="ICASBody"/>
      </w:pPr>
      <w:r>
        <w:t xml:space="preserve">Clients should be informed </w:t>
      </w:r>
      <w:r w:rsidR="001A4F25">
        <w:t xml:space="preserve">at an appropriate time </w:t>
      </w:r>
      <w:r w:rsidR="003A7943">
        <w:t xml:space="preserve">of </w:t>
      </w:r>
      <w:r w:rsidR="00285E67">
        <w:t>your decision</w:t>
      </w:r>
      <w:r w:rsidR="00AB49B2">
        <w:t xml:space="preserve">, </w:t>
      </w:r>
      <w:r w:rsidR="00285E67">
        <w:t>the impact on them</w:t>
      </w:r>
      <w:r w:rsidR="00AB49B2">
        <w:t xml:space="preserve"> and </w:t>
      </w:r>
      <w:r w:rsidR="005D6557">
        <w:t xml:space="preserve">any </w:t>
      </w:r>
      <w:r w:rsidR="00AB49B2">
        <w:t xml:space="preserve">action they </w:t>
      </w:r>
      <w:r w:rsidR="006152C8">
        <w:t>are required to take</w:t>
      </w:r>
      <w:r w:rsidR="00285E67">
        <w:t>.</w:t>
      </w:r>
    </w:p>
    <w:p w14:paraId="6085C8BE" w14:textId="6614AB59" w:rsidR="000D1895" w:rsidRPr="00992253" w:rsidRDefault="00207614" w:rsidP="00096504">
      <w:pPr>
        <w:pStyle w:val="Heading2"/>
      </w:pPr>
      <w:r>
        <w:t>Disengagement</w:t>
      </w:r>
    </w:p>
    <w:p w14:paraId="2FB85767" w14:textId="5208BAD1" w:rsidR="007D4DB7" w:rsidRDefault="00FC77A6" w:rsidP="007030EE">
      <w:pPr>
        <w:pStyle w:val="ICASBody"/>
      </w:pPr>
      <w:r>
        <w:t>Other than where there is a sale of the business entity when the</w:t>
      </w:r>
      <w:r w:rsidR="001C3165">
        <w:t xml:space="preserve"> engagement contract would remain unterminated</w:t>
      </w:r>
      <w:r>
        <w:t>,</w:t>
      </w:r>
      <w:r w:rsidR="00207614">
        <w:t xml:space="preserve"> </w:t>
      </w:r>
      <w:r w:rsidR="00713984">
        <w:t>when your engagement with a client is ending</w:t>
      </w:r>
      <w:r w:rsidR="00CE0FD8">
        <w:t xml:space="preserve"> it is important to set out clearly the disengagement position</w:t>
      </w:r>
      <w:r w:rsidR="00BC0D2E">
        <w:t xml:space="preserve"> though a disengagement letter. </w:t>
      </w:r>
    </w:p>
    <w:p w14:paraId="242D2101" w14:textId="6CBF29C4" w:rsidR="008A1946" w:rsidRDefault="008A1946" w:rsidP="008A1946">
      <w:pPr>
        <w:pStyle w:val="ICASBody"/>
      </w:pPr>
      <w:r>
        <w:t>A disengagement letter can be used to clarify responsibilities with the client during the handover between your firm and the new accountant.</w:t>
      </w:r>
      <w:r w:rsidR="00A23E00">
        <w:t xml:space="preserve"> </w:t>
      </w:r>
      <w:r>
        <w:t>It is important that there is no misunderstanding about what work has been completed and what remains outstanding for the client or their new accountant to deal with.</w:t>
      </w:r>
    </w:p>
    <w:p w14:paraId="3675A269" w14:textId="6F776B41" w:rsidR="00A23E00" w:rsidRPr="00992253" w:rsidRDefault="005E1ABA" w:rsidP="00096504">
      <w:pPr>
        <w:pStyle w:val="Heading2"/>
      </w:pPr>
      <w:r>
        <w:t>Change of professional accountant</w:t>
      </w:r>
    </w:p>
    <w:p w14:paraId="713CF3ED" w14:textId="2C62B511" w:rsidR="00A23E00" w:rsidRDefault="0013492B" w:rsidP="008A1946">
      <w:pPr>
        <w:pStyle w:val="ICASBody"/>
      </w:pPr>
      <w:r>
        <w:t xml:space="preserve">It would be expected that any new </w:t>
      </w:r>
      <w:r w:rsidR="002F2ACC">
        <w:t xml:space="preserve">professional accountant </w:t>
      </w:r>
      <w:r w:rsidR="00CE4E12">
        <w:t xml:space="preserve">that the client engages </w:t>
      </w:r>
      <w:r w:rsidR="002F2ACC">
        <w:t>will issue an enquiry letter</w:t>
      </w:r>
      <w:r w:rsidR="00CE4E12">
        <w:t>.</w:t>
      </w:r>
      <w:r w:rsidR="00C97DD4">
        <w:t xml:space="preserve"> Arrangements will require to be made to respond to enquiry letters </w:t>
      </w:r>
      <w:r w:rsidR="00C1462F">
        <w:t xml:space="preserve">and to handover information relating to the client </w:t>
      </w:r>
      <w:r w:rsidR="00C97DD4">
        <w:t xml:space="preserve">even if </w:t>
      </w:r>
      <w:r w:rsidR="007C56D9">
        <w:t>you have ceased to practice in the meantime.</w:t>
      </w:r>
    </w:p>
    <w:p w14:paraId="33AF7C90" w14:textId="2FC365C9" w:rsidR="004D4EB3" w:rsidRDefault="004D4EB3" w:rsidP="008A1946">
      <w:pPr>
        <w:pStyle w:val="ICASBody"/>
      </w:pPr>
      <w:r>
        <w:t xml:space="preserve">The same ethical and practical </w:t>
      </w:r>
      <w:r w:rsidR="00BD7352">
        <w:t>issues apply on the change of a professional accountant whether it arises from a client deciding to ch</w:t>
      </w:r>
      <w:r w:rsidR="009375F3">
        <w:t>ange advisor of their own account or whether it arises from a practice cessation.</w:t>
      </w:r>
    </w:p>
    <w:p w14:paraId="53BD8436" w14:textId="29C56040" w:rsidR="00C975E4" w:rsidRDefault="00441E1E" w:rsidP="00096504">
      <w:pPr>
        <w:pStyle w:val="Heading2"/>
      </w:pPr>
      <w:r>
        <w:lastRenderedPageBreak/>
        <w:t>Documents and files</w:t>
      </w:r>
    </w:p>
    <w:p w14:paraId="61B65E10" w14:textId="77777777" w:rsidR="00FE7C9B" w:rsidRDefault="0051061E" w:rsidP="00FE7C9B">
      <w:pPr>
        <w:pStyle w:val="ICASBody"/>
      </w:pPr>
      <w:r>
        <w:t>I</w:t>
      </w:r>
      <w:r w:rsidR="00B51C1E">
        <w:t xml:space="preserve">rrespective of the practice ceasing, there remains obligations in relation to documents and files which will need to be considered. </w:t>
      </w:r>
      <w:r w:rsidR="00601920" w:rsidRPr="00601920">
        <w:t xml:space="preserve">AML and GDPR obligations must be </w:t>
      </w:r>
      <w:r w:rsidR="00931F8A">
        <w:t>given particular attention</w:t>
      </w:r>
      <w:r w:rsidR="00601920" w:rsidRPr="00601920">
        <w:t>.</w:t>
      </w:r>
      <w:r w:rsidR="00FE7C9B">
        <w:t xml:space="preserve"> </w:t>
      </w:r>
    </w:p>
    <w:p w14:paraId="48EE026C" w14:textId="0CD9655C" w:rsidR="00931F8A" w:rsidRDefault="00F25B29" w:rsidP="00341FEC">
      <w:pPr>
        <w:pStyle w:val="ICASBody"/>
      </w:pPr>
      <w:r w:rsidRPr="00F25B29">
        <w:rPr>
          <w:rStyle w:val="SubtleEmphasis"/>
        </w:rPr>
        <w:t>AML</w:t>
      </w:r>
      <w:r>
        <w:t xml:space="preserve"> </w:t>
      </w:r>
      <w:r w:rsidR="00925464">
        <w:t>–</w:t>
      </w:r>
      <w:r>
        <w:t xml:space="preserve"> </w:t>
      </w:r>
      <w:r w:rsidR="00925464">
        <w:t xml:space="preserve">The </w:t>
      </w:r>
      <w:hyperlink r:id="rId10" w:history="1">
        <w:r w:rsidR="00925464" w:rsidRPr="00D134C2">
          <w:rPr>
            <w:rStyle w:val="Hyperlink"/>
          </w:rPr>
          <w:t xml:space="preserve">CCAB </w:t>
        </w:r>
        <w:r w:rsidR="004E6B4E" w:rsidRPr="00D134C2">
          <w:rPr>
            <w:rStyle w:val="Hyperlink"/>
          </w:rPr>
          <w:t>Anti-Money Laundering, Counter-Terrorist and Counter-Proliferation Financing Guidance for the Accountancy Sector</w:t>
        </w:r>
      </w:hyperlink>
      <w:r w:rsidR="00D134C2">
        <w:t xml:space="preserve"> (paragraph 3.6</w:t>
      </w:r>
      <w:r w:rsidR="008A7155">
        <w:t>.18</w:t>
      </w:r>
      <w:r w:rsidR="00D134C2">
        <w:t>)</w:t>
      </w:r>
      <w:r w:rsidR="00341FEC">
        <w:t xml:space="preserve"> requires all records created as part of the CDD process, including any non-engagement documents relating to the client relationship and ongoing monitoring of it, </w:t>
      </w:r>
      <w:r w:rsidR="006363AC">
        <w:t xml:space="preserve">to </w:t>
      </w:r>
      <w:r w:rsidR="00341FEC">
        <w:t>be retained for five years after the relationship ends</w:t>
      </w:r>
      <w:r w:rsidR="006363AC">
        <w:t>.</w:t>
      </w:r>
    </w:p>
    <w:p w14:paraId="54241A77" w14:textId="48DAB623" w:rsidR="006363AC" w:rsidRDefault="006363AC" w:rsidP="00341FEC">
      <w:pPr>
        <w:pStyle w:val="ICASBody"/>
      </w:pPr>
      <w:r w:rsidRPr="002E4D65">
        <w:rPr>
          <w:rStyle w:val="SubtleEmphasis"/>
        </w:rPr>
        <w:t>GDPR</w:t>
      </w:r>
      <w:r>
        <w:t xml:space="preserve"> </w:t>
      </w:r>
      <w:r w:rsidR="00624C75">
        <w:t>–</w:t>
      </w:r>
      <w:r>
        <w:t xml:space="preserve"> </w:t>
      </w:r>
      <w:r w:rsidR="00A70DAE">
        <w:t>while you still hold personal data</w:t>
      </w:r>
      <w:r w:rsidR="0063090E">
        <w:t xml:space="preserve"> you require to comply with GDPR requirements, including payment of the ICO registration fee. </w:t>
      </w:r>
      <w:r w:rsidR="00BF34CC">
        <w:t xml:space="preserve">You may </w:t>
      </w:r>
      <w:r w:rsidR="00F662B8">
        <w:t>continue to hold personal data</w:t>
      </w:r>
      <w:r w:rsidR="00D75F8B">
        <w:t xml:space="preserve"> </w:t>
      </w:r>
      <w:r w:rsidR="00A57176">
        <w:t xml:space="preserve">because of </w:t>
      </w:r>
      <w:r w:rsidR="00B86770">
        <w:t>AML</w:t>
      </w:r>
      <w:r w:rsidR="004543F9">
        <w:t xml:space="preserve">, </w:t>
      </w:r>
      <w:r w:rsidR="00B86770">
        <w:t xml:space="preserve">PII </w:t>
      </w:r>
      <w:r w:rsidR="004543F9">
        <w:t xml:space="preserve">or other </w:t>
      </w:r>
      <w:r w:rsidR="00B86770">
        <w:t>obligations</w:t>
      </w:r>
      <w:r w:rsidR="004543F9">
        <w:t>.</w:t>
      </w:r>
      <w:r w:rsidR="00B86770">
        <w:t xml:space="preserve"> </w:t>
      </w:r>
      <w:r w:rsidR="00E20D81">
        <w:t>You should ensure that your document and file retention policy is being adhered to</w:t>
      </w:r>
      <w:r w:rsidR="00177BAA">
        <w:t xml:space="preserve">. Any </w:t>
      </w:r>
      <w:r w:rsidR="001955A6">
        <w:t xml:space="preserve">personal information </w:t>
      </w:r>
      <w:r w:rsidR="00177BAA">
        <w:t xml:space="preserve">that is not </w:t>
      </w:r>
      <w:r w:rsidR="001955A6">
        <w:t xml:space="preserve">required to be retained </w:t>
      </w:r>
      <w:r w:rsidR="00177BAA">
        <w:t xml:space="preserve">in accordance with that policy should be </w:t>
      </w:r>
      <w:r w:rsidR="002E4D65">
        <w:t>deleted or destroyed.</w:t>
      </w:r>
    </w:p>
    <w:p w14:paraId="35D4927D" w14:textId="5153A33B" w:rsidR="00624C75" w:rsidRDefault="00F3715F" w:rsidP="00341FEC">
      <w:pPr>
        <w:pStyle w:val="ICASBody"/>
      </w:pPr>
      <w:r w:rsidRPr="00F3715F">
        <w:rPr>
          <w:rStyle w:val="SubtleEmphasis"/>
        </w:rPr>
        <w:t>Client’s documents and files</w:t>
      </w:r>
      <w:r>
        <w:t xml:space="preserve"> – these </w:t>
      </w:r>
      <w:r w:rsidRPr="00F3715F">
        <w:t>should be returned to clients or handed over to the incoming professional accountants</w:t>
      </w:r>
      <w:r>
        <w:t>.</w:t>
      </w:r>
    </w:p>
    <w:p w14:paraId="41E545CE" w14:textId="5BBD42EB" w:rsidR="009C2B9C" w:rsidRDefault="009C2B9C" w:rsidP="00341FEC">
      <w:pPr>
        <w:pStyle w:val="ICASBody"/>
      </w:pPr>
      <w:r w:rsidRPr="009C2B9C">
        <w:rPr>
          <w:rStyle w:val="SubtleEmphasis"/>
        </w:rPr>
        <w:t>Books and records</w:t>
      </w:r>
      <w:r>
        <w:t xml:space="preserve"> </w:t>
      </w:r>
      <w:r w:rsidR="00446375">
        <w:t>–</w:t>
      </w:r>
      <w:r>
        <w:t xml:space="preserve"> </w:t>
      </w:r>
      <w:r w:rsidR="00446375">
        <w:t>your practice books and records of account will require to be retained in accordance with legislative requirements.</w:t>
      </w:r>
    </w:p>
    <w:p w14:paraId="1E949A95" w14:textId="4011B28B" w:rsidR="000B2209" w:rsidRDefault="000B2209" w:rsidP="00341FEC">
      <w:pPr>
        <w:pStyle w:val="ICASBody"/>
      </w:pPr>
      <w:r w:rsidRPr="00E4765D">
        <w:rPr>
          <w:rStyle w:val="SubtleEmphasis"/>
        </w:rPr>
        <w:t>Audit working papers</w:t>
      </w:r>
      <w:r>
        <w:t xml:space="preserve"> </w:t>
      </w:r>
      <w:r w:rsidR="0010466F">
        <w:t>–</w:t>
      </w:r>
      <w:r>
        <w:t xml:space="preserve"> </w:t>
      </w:r>
      <w:r w:rsidR="0010466F">
        <w:t>ICAS audit regulations require</w:t>
      </w:r>
      <w:r w:rsidR="00BD45A4">
        <w:t xml:space="preserve"> audit working papers to be retained for a period of </w:t>
      </w:r>
      <w:r w:rsidR="00D36CD3">
        <w:t xml:space="preserve">at least </w:t>
      </w:r>
      <w:r w:rsidR="00316496">
        <w:t>six</w:t>
      </w:r>
      <w:r w:rsidR="00BD45A4">
        <w:t xml:space="preserve"> years after the date of the audit report.</w:t>
      </w:r>
    </w:p>
    <w:p w14:paraId="1710FF2C" w14:textId="6C7F1876" w:rsidR="000F71D5" w:rsidRDefault="000F71D5" w:rsidP="000F71D5">
      <w:pPr>
        <w:pStyle w:val="ICASBody"/>
      </w:pPr>
      <w:r>
        <w:t xml:space="preserve">While it may be understandable that there would be a desire not to have to retain records, not least because of the issue of storage and its possible associated costs, </w:t>
      </w:r>
      <w:r w:rsidR="00A069DF">
        <w:t xml:space="preserve">as can be seen from the above, </w:t>
      </w:r>
      <w:r>
        <w:t>appropriate arrangements are likely to have to be made to continue to store records for a considerable period after cessation of practice.</w:t>
      </w:r>
    </w:p>
    <w:p w14:paraId="651374D3" w14:textId="6FE399EE" w:rsidR="00A23E00" w:rsidRDefault="00FF2E46" w:rsidP="00FF2E46">
      <w:pPr>
        <w:pStyle w:val="ICASBody"/>
      </w:pPr>
      <w:r>
        <w:t xml:space="preserve">Where </w:t>
      </w:r>
      <w:r w:rsidR="00FC20D2">
        <w:t xml:space="preserve">there is a sale of </w:t>
      </w:r>
      <w:r w:rsidR="00A069DF">
        <w:t>the practice</w:t>
      </w:r>
      <w:r w:rsidR="009F5DC4">
        <w:t xml:space="preserve">, </w:t>
      </w:r>
      <w:r>
        <w:t>then a practical solution is often to arrange that the purchasing firm take over the records. Careful consideration should be given to agreeing in writing the conditions relating to storage and access of the records, normally as part of the sale and purchase agreement.</w:t>
      </w:r>
    </w:p>
    <w:p w14:paraId="5AFD5DDF" w14:textId="0CB85FAB" w:rsidR="00A23E00" w:rsidRDefault="0026421C" w:rsidP="008A1946">
      <w:pPr>
        <w:pStyle w:val="ICASBody"/>
      </w:pPr>
      <w:r>
        <w:t xml:space="preserve">Further information on document </w:t>
      </w:r>
      <w:r w:rsidR="005C3B9A">
        <w:t>and file retention is available in a separate Helpsheet.</w:t>
      </w:r>
    </w:p>
    <w:p w14:paraId="343E009C" w14:textId="70D53C58" w:rsidR="006F0C36" w:rsidRPr="00992253" w:rsidRDefault="006F0C36" w:rsidP="00096504">
      <w:pPr>
        <w:pStyle w:val="Heading2"/>
      </w:pPr>
      <w:r>
        <w:t>Professional indemnity insurance</w:t>
      </w:r>
      <w:r w:rsidR="00376F85">
        <w:t xml:space="preserve"> (PII)</w:t>
      </w:r>
    </w:p>
    <w:p w14:paraId="5E4CDA95" w14:textId="2B4BB987" w:rsidR="0088082D" w:rsidRDefault="0088082D" w:rsidP="001733E0">
      <w:pPr>
        <w:pStyle w:val="ICASBody"/>
      </w:pPr>
      <w:r>
        <w:t>When ceasing practice this does not extinguish</w:t>
      </w:r>
      <w:r w:rsidR="008457D3">
        <w:t xml:space="preserve"> liability for previous work</w:t>
      </w:r>
      <w:r w:rsidR="00376F85">
        <w:t>. It is therefore important that PII cover is maintained</w:t>
      </w:r>
      <w:r w:rsidR="00BF5CC7">
        <w:t xml:space="preserve"> for work carried out whilst in practice but for which a claim is made after cessation.</w:t>
      </w:r>
    </w:p>
    <w:p w14:paraId="15571549" w14:textId="42011E92" w:rsidR="006F0C36" w:rsidRDefault="009B19DC" w:rsidP="001733E0">
      <w:pPr>
        <w:pStyle w:val="ICASBody"/>
      </w:pPr>
      <w:r>
        <w:t>T</w:t>
      </w:r>
      <w:r w:rsidR="001733E0">
        <w:t>he ICAS professional indemnity insurance regulations</w:t>
      </w:r>
      <w:r w:rsidR="00316496">
        <w:t xml:space="preserve"> require that a minimum </w:t>
      </w:r>
      <w:r w:rsidR="00D209F8">
        <w:t xml:space="preserve">two years run-off cover </w:t>
      </w:r>
      <w:r w:rsidR="0088082D">
        <w:t>is in place.</w:t>
      </w:r>
      <w:r w:rsidR="00F120BF">
        <w:t xml:space="preserve"> After that, </w:t>
      </w:r>
      <w:r>
        <w:t xml:space="preserve">and where a practice ceases, </w:t>
      </w:r>
      <w:r w:rsidR="00F120BF">
        <w:t>all reasonable steps must be taken to maintain run-off cover for a further</w:t>
      </w:r>
      <w:r w:rsidR="000C3744">
        <w:t xml:space="preserve"> four year period.</w:t>
      </w:r>
    </w:p>
    <w:p w14:paraId="238ECA85" w14:textId="0604648B" w:rsidR="000C3744" w:rsidRDefault="000C3744" w:rsidP="001733E0">
      <w:pPr>
        <w:pStyle w:val="ICASBody"/>
      </w:pPr>
      <w:r>
        <w:t xml:space="preserve">You should contact your PII broker </w:t>
      </w:r>
      <w:r w:rsidR="00156A89">
        <w:t>to discuss</w:t>
      </w:r>
      <w:r w:rsidR="00577893">
        <w:t xml:space="preserve"> run-off cover </w:t>
      </w:r>
      <w:r>
        <w:t>as early as possible</w:t>
      </w:r>
      <w:r w:rsidR="00156A89">
        <w:t xml:space="preserve"> if you are considering ceasing to practice or at the latest once a decision to cease has been taken.</w:t>
      </w:r>
    </w:p>
    <w:p w14:paraId="6D16E287" w14:textId="021ABE08" w:rsidR="006F0C36" w:rsidRPr="00992253" w:rsidRDefault="006F0C36" w:rsidP="00096504">
      <w:pPr>
        <w:pStyle w:val="Heading2"/>
      </w:pPr>
      <w:r>
        <w:t>Notifying ICAS</w:t>
      </w:r>
    </w:p>
    <w:p w14:paraId="4D412686" w14:textId="77777777" w:rsidR="00D15945" w:rsidRDefault="00E0794F" w:rsidP="008A1946">
      <w:pPr>
        <w:pStyle w:val="ICASBody"/>
      </w:pPr>
      <w:r>
        <w:t>Ceasing to practice</w:t>
      </w:r>
      <w:r w:rsidR="00717AD4">
        <w:t xml:space="preserve"> </w:t>
      </w:r>
      <w:r w:rsidR="003B022A">
        <w:t xml:space="preserve">may impact </w:t>
      </w:r>
      <w:r w:rsidR="008669E9">
        <w:t>several</w:t>
      </w:r>
      <w:r w:rsidR="003B022A">
        <w:t xml:space="preserve"> regulatory areas</w:t>
      </w:r>
      <w:r w:rsidR="00980C7E">
        <w:t>, including future monitoring activity as well as regulatory authorisations</w:t>
      </w:r>
      <w:r w:rsidR="008669E9">
        <w:t xml:space="preserve">. </w:t>
      </w:r>
      <w:r w:rsidR="00102341">
        <w:t xml:space="preserve">We would therefore </w:t>
      </w:r>
      <w:r w:rsidR="009E2D52">
        <w:t>encourage you to engage with the ICAS regulat</w:t>
      </w:r>
      <w:r w:rsidR="00980C7E">
        <w:t xml:space="preserve">ion </w:t>
      </w:r>
      <w:r w:rsidR="009E2D52">
        <w:t>team at an early date</w:t>
      </w:r>
      <w:r w:rsidR="00DD5C38">
        <w:t>.</w:t>
      </w:r>
      <w:r w:rsidR="00473528">
        <w:t xml:space="preserve"> You can contact them by email at </w:t>
      </w:r>
      <w:hyperlink r:id="rId11" w:history="1">
        <w:r w:rsidR="00D15945" w:rsidRPr="006A27B5">
          <w:rPr>
            <w:rStyle w:val="Hyperlink"/>
          </w:rPr>
          <w:t>regulatoryauthorisations@icas.com</w:t>
        </w:r>
      </w:hyperlink>
    </w:p>
    <w:p w14:paraId="60005997" w14:textId="3399886F" w:rsidR="00577893" w:rsidRDefault="00577893" w:rsidP="00096504">
      <w:pPr>
        <w:pStyle w:val="Heading2"/>
      </w:pPr>
      <w:r>
        <w:t>Ongoing practising certificate requirements</w:t>
      </w:r>
    </w:p>
    <w:p w14:paraId="38D9B839" w14:textId="64C9A368" w:rsidR="008F516D" w:rsidRDefault="008F516D" w:rsidP="008F516D">
      <w:pPr>
        <w:pStyle w:val="ICASBody"/>
      </w:pPr>
      <w:r>
        <w:t>While you</w:t>
      </w:r>
      <w:r w:rsidR="00D82CA9">
        <w:t>r main practice work might cease, you should be mindful that you may still require a practising certificate</w:t>
      </w:r>
      <w:r w:rsidR="00B464DD">
        <w:t xml:space="preserve"> </w:t>
      </w:r>
      <w:r w:rsidR="009739A8">
        <w:t xml:space="preserve">(PC) </w:t>
      </w:r>
      <w:r w:rsidR="00B464DD">
        <w:t xml:space="preserve">for certain </w:t>
      </w:r>
      <w:r w:rsidR="006772C3">
        <w:t>activities that may be carried out</w:t>
      </w:r>
      <w:r w:rsidR="00B464DD">
        <w:t>.</w:t>
      </w:r>
      <w:r w:rsidR="006772C3">
        <w:t xml:space="preserve"> This might include for example acting as an independent examiner for a charity</w:t>
      </w:r>
      <w:r w:rsidR="00F2670B">
        <w:t xml:space="preserve"> or acting as a consultant </w:t>
      </w:r>
      <w:r w:rsidR="00D61F04">
        <w:t xml:space="preserve">or sub-contractor. </w:t>
      </w:r>
      <w:r w:rsidR="009739A8">
        <w:t xml:space="preserve">Further information on when a PC is required </w:t>
      </w:r>
      <w:r w:rsidR="006C4121">
        <w:t xml:space="preserve">is available on the </w:t>
      </w:r>
      <w:hyperlink r:id="rId12" w:history="1">
        <w:r w:rsidR="006C4121" w:rsidRPr="00F462EE">
          <w:rPr>
            <w:rStyle w:val="Hyperlink"/>
          </w:rPr>
          <w:t>ICAS website</w:t>
        </w:r>
      </w:hyperlink>
      <w:r w:rsidR="006C4121">
        <w:t>.</w:t>
      </w:r>
    </w:p>
    <w:p w14:paraId="61CB4E05" w14:textId="5C9F8F4C" w:rsidR="00930727" w:rsidRDefault="00096504" w:rsidP="00131FE7">
      <w:pPr>
        <w:pStyle w:val="Heading2"/>
      </w:pPr>
      <w:r>
        <w:br w:type="page"/>
      </w:r>
      <w:r w:rsidR="000B1427">
        <w:lastRenderedPageBreak/>
        <w:t xml:space="preserve">Regulatory </w:t>
      </w:r>
      <w:r w:rsidR="00071017">
        <w:t xml:space="preserve">and disciplinary </w:t>
      </w:r>
      <w:r w:rsidR="000B1427">
        <w:t>action</w:t>
      </w:r>
    </w:p>
    <w:p w14:paraId="0502072D" w14:textId="6FC255EA" w:rsidR="0087341E" w:rsidRDefault="000B1427" w:rsidP="0099542F">
      <w:pPr>
        <w:pStyle w:val="ICASBody"/>
      </w:pPr>
      <w:r>
        <w:t xml:space="preserve">Any </w:t>
      </w:r>
      <w:r w:rsidR="006F6114">
        <w:t xml:space="preserve">regulatory </w:t>
      </w:r>
      <w:r w:rsidR="00071017">
        <w:t xml:space="preserve">or disciplinary processes that </w:t>
      </w:r>
      <w:r w:rsidR="00FD4552">
        <w:t xml:space="preserve">had </w:t>
      </w:r>
      <w:r w:rsidR="00071017">
        <w:t xml:space="preserve">started </w:t>
      </w:r>
      <w:r w:rsidR="00FD4552">
        <w:t xml:space="preserve">while in practice will </w:t>
      </w:r>
      <w:r w:rsidR="00A128C5">
        <w:t xml:space="preserve">not stop just because you have ceased to practice. </w:t>
      </w:r>
      <w:r w:rsidR="009D17A4">
        <w:t xml:space="preserve">Similarly, </w:t>
      </w:r>
      <w:r w:rsidR="00491F8A">
        <w:t xml:space="preserve">it is possible that </w:t>
      </w:r>
      <w:r w:rsidR="001D1327">
        <w:t xml:space="preserve">information </w:t>
      </w:r>
      <w:r w:rsidR="6791334B">
        <w:t>that require</w:t>
      </w:r>
      <w:r w:rsidR="3C55FB07">
        <w:t>s</w:t>
      </w:r>
      <w:r w:rsidR="6791334B">
        <w:t xml:space="preserve"> investigation can </w:t>
      </w:r>
      <w:r w:rsidR="001D1327">
        <w:t xml:space="preserve">be brought to the attention of ICAS </w:t>
      </w:r>
      <w:r w:rsidR="00303CBC">
        <w:t xml:space="preserve">after you have ceased to practice. </w:t>
      </w:r>
      <w:r w:rsidR="006353A7">
        <w:t>Y</w:t>
      </w:r>
      <w:r w:rsidR="00662F55">
        <w:t xml:space="preserve">ou should co-operate with any </w:t>
      </w:r>
      <w:r w:rsidR="00E21965">
        <w:t xml:space="preserve">regulatory process or </w:t>
      </w:r>
      <w:r w:rsidR="00135477">
        <w:t>investigation</w:t>
      </w:r>
      <w:r w:rsidR="00E21965">
        <w:t xml:space="preserve"> even after you have ceased to practice</w:t>
      </w:r>
      <w:r w:rsidR="00EB3655">
        <w:t>.</w:t>
      </w:r>
    </w:p>
    <w:p w14:paraId="10415BFB" w14:textId="1ABAA2BE" w:rsidR="00144954" w:rsidRPr="0040042F" w:rsidRDefault="0040042F" w:rsidP="007528AA">
      <w:pPr>
        <w:pStyle w:val="Heading2"/>
      </w:pPr>
      <w:r w:rsidRPr="34FD072D">
        <w:t>Useful links</w:t>
      </w:r>
    </w:p>
    <w:p w14:paraId="4EC361E6" w14:textId="485BBFDE" w:rsidR="00AF7A7B" w:rsidRDefault="00BB38EA" w:rsidP="007030EE">
      <w:pPr>
        <w:pStyle w:val="ICASBody"/>
      </w:pPr>
      <w:hyperlink r:id="rId13" w:history="1">
        <w:r w:rsidRPr="0053646B">
          <w:rPr>
            <w:rStyle w:val="Hyperlink"/>
          </w:rPr>
          <w:t>ICAS Code of ethics</w:t>
        </w:r>
      </w:hyperlink>
      <w:r>
        <w:br/>
      </w:r>
      <w:hyperlink r:id="rId14" w:history="1">
        <w:r w:rsidR="0055468C">
          <w:rPr>
            <w:rStyle w:val="Hyperlink"/>
          </w:rPr>
          <w:t>Helpsheet: D</w:t>
        </w:r>
        <w:r w:rsidR="004C284D" w:rsidRPr="004C284D">
          <w:rPr>
            <w:rStyle w:val="Hyperlink"/>
          </w:rPr>
          <w:t xml:space="preserve">isengagement from client </w:t>
        </w:r>
      </w:hyperlink>
      <w:r w:rsidR="0055468C">
        <w:br/>
      </w:r>
      <w:hyperlink r:id="rId15" w:history="1">
        <w:r w:rsidRPr="002033EA">
          <w:rPr>
            <w:rStyle w:val="Hyperlink"/>
          </w:rPr>
          <w:t xml:space="preserve">Helpsheet: </w:t>
        </w:r>
        <w:r w:rsidR="00065409" w:rsidRPr="002033EA">
          <w:rPr>
            <w:rStyle w:val="Hyperlink"/>
          </w:rPr>
          <w:t>Documents and file ownership and retention</w:t>
        </w:r>
      </w:hyperlink>
      <w:r>
        <w:br/>
      </w:r>
      <w:hyperlink r:id="rId16" w:history="1">
        <w:r w:rsidRPr="002033EA">
          <w:rPr>
            <w:rStyle w:val="Hyperlink"/>
          </w:rPr>
          <w:t xml:space="preserve">Helpsheet: </w:t>
        </w:r>
        <w:r w:rsidR="002033EA" w:rsidRPr="002033EA">
          <w:rPr>
            <w:rStyle w:val="Hyperlink"/>
          </w:rPr>
          <w:t>Documents and file access rights</w:t>
        </w:r>
      </w:hyperlink>
      <w:r w:rsidR="002033EA">
        <w:t xml:space="preserve"> </w:t>
      </w:r>
      <w:r w:rsidR="00AF7A7B">
        <w:br/>
      </w:r>
      <w:hyperlink r:id="rId17" w:history="1">
        <w:r w:rsidR="00AF7A7B" w:rsidRPr="00C819D3">
          <w:rPr>
            <w:rStyle w:val="Hyperlink"/>
          </w:rPr>
          <w:t xml:space="preserve">Helpsheet: </w:t>
        </w:r>
        <w:r w:rsidR="00C819D3" w:rsidRPr="00C819D3">
          <w:rPr>
            <w:rStyle w:val="Hyperlink"/>
          </w:rPr>
          <w:t>Ethical matters in relation to engagement and disengagement procedures</w:t>
        </w:r>
      </w:hyperlink>
    </w:p>
    <w:p w14:paraId="04799376" w14:textId="0A052F77" w:rsidR="00DA171C" w:rsidRPr="00DA171C" w:rsidRDefault="00DA171C" w:rsidP="007528AA">
      <w:pPr>
        <w:pStyle w:val="Heading2"/>
      </w:pPr>
      <w:r w:rsidRPr="34FD072D">
        <w:t>Further information</w:t>
      </w:r>
      <w:r w:rsidR="2A0D2C4D" w:rsidRPr="34FD072D">
        <w:t xml:space="preserve"> and assistance</w:t>
      </w:r>
    </w:p>
    <w:p w14:paraId="09DB4D1F" w14:textId="5DB0959C" w:rsidR="008A1834" w:rsidRPr="00144954" w:rsidRDefault="2A0D2C4D" w:rsidP="007528AA">
      <w:pPr>
        <w:pStyle w:val="ICASBody"/>
      </w:pPr>
      <w:r w:rsidRPr="34FD072D">
        <w:t xml:space="preserve">Further assistance and information can be obtained from the Practice Support team. You can contact them through the Practice Support section of the </w:t>
      </w:r>
      <w:hyperlink r:id="rId18">
        <w:r w:rsidRPr="007528AA">
          <w:rPr>
            <w:rStyle w:val="Hyperlink"/>
          </w:rPr>
          <w:t>ICAS Technical helpdesk</w:t>
        </w:r>
      </w:hyperlink>
      <w:r w:rsidRPr="34FD072D">
        <w:t>.</w:t>
      </w:r>
    </w:p>
    <w:p w14:paraId="059F0B8B" w14:textId="77777777" w:rsidR="00B5086D" w:rsidRDefault="00B5086D" w:rsidP="007030EE">
      <w:pPr>
        <w:pStyle w:val="ICASBody"/>
      </w:pPr>
    </w:p>
    <w:p w14:paraId="7A5A70C6" w14:textId="77777777" w:rsidR="00B5086D" w:rsidRDefault="00B5086D" w:rsidP="007030EE">
      <w:pPr>
        <w:pStyle w:val="ICASBody"/>
      </w:pPr>
    </w:p>
    <w:p w14:paraId="3211D573" w14:textId="77777777" w:rsidR="00B5086D" w:rsidRDefault="00B5086D" w:rsidP="007030EE">
      <w:pPr>
        <w:pStyle w:val="ICASBody"/>
      </w:pPr>
    </w:p>
    <w:p w14:paraId="51FB56DD" w14:textId="77777777" w:rsidR="00B5086D" w:rsidRDefault="00B5086D" w:rsidP="007030EE">
      <w:pPr>
        <w:pStyle w:val="ICASBody"/>
      </w:pPr>
    </w:p>
    <w:p w14:paraId="6377C629" w14:textId="77777777" w:rsidR="00B5086D" w:rsidRDefault="00B5086D" w:rsidP="007030EE">
      <w:pPr>
        <w:pStyle w:val="ICASBody"/>
      </w:pPr>
    </w:p>
    <w:p w14:paraId="030CF932" w14:textId="77777777" w:rsidR="00B5086D" w:rsidRDefault="00B5086D" w:rsidP="007030EE">
      <w:pPr>
        <w:pStyle w:val="ICASBody"/>
      </w:pPr>
    </w:p>
    <w:p w14:paraId="32BF9C7E" w14:textId="77777777" w:rsidR="00B5086D" w:rsidRDefault="00B5086D" w:rsidP="007030EE">
      <w:pPr>
        <w:pStyle w:val="ICASBody"/>
      </w:pPr>
    </w:p>
    <w:p w14:paraId="5C3638C9" w14:textId="77777777" w:rsidR="00B5086D" w:rsidRDefault="00B5086D" w:rsidP="007030EE">
      <w:pPr>
        <w:pStyle w:val="ICASBody"/>
      </w:pPr>
    </w:p>
    <w:p w14:paraId="1363B87D" w14:textId="77777777" w:rsidR="00B5086D" w:rsidRDefault="00B5086D" w:rsidP="007030EE">
      <w:pPr>
        <w:pStyle w:val="ICASBody"/>
      </w:pPr>
    </w:p>
    <w:p w14:paraId="42DFE3CE" w14:textId="77777777" w:rsidR="00B5086D" w:rsidRDefault="00B5086D" w:rsidP="007030EE">
      <w:pPr>
        <w:pStyle w:val="ICASBody"/>
      </w:pPr>
    </w:p>
    <w:p w14:paraId="217C48BA" w14:textId="77777777" w:rsidR="00B5086D" w:rsidRDefault="00B5086D" w:rsidP="007030EE">
      <w:pPr>
        <w:pStyle w:val="ICASBody"/>
      </w:pPr>
    </w:p>
    <w:p w14:paraId="46489FC4" w14:textId="77777777" w:rsidR="00B5086D" w:rsidRDefault="00B5086D" w:rsidP="007030EE">
      <w:pPr>
        <w:pStyle w:val="ICASBody"/>
      </w:pPr>
    </w:p>
    <w:p w14:paraId="1D4A8B2D" w14:textId="77777777" w:rsidR="008A1834" w:rsidRPr="00144954" w:rsidRDefault="008A1834" w:rsidP="007030EE">
      <w:pPr>
        <w:pStyle w:val="ICASBody"/>
      </w:pPr>
    </w:p>
    <w:p w14:paraId="4A21B02D" w14:textId="2144C7E6" w:rsidR="00880E84" w:rsidRPr="00992253" w:rsidRDefault="00880E84" w:rsidP="007528AA">
      <w:pPr>
        <w:pStyle w:val="ICASBoxOutHeading"/>
      </w:pPr>
      <w:r w:rsidRPr="00992253">
        <w:t>Disclaimer:</w:t>
      </w:r>
    </w:p>
    <w:p w14:paraId="0970923B" w14:textId="77777777" w:rsidR="00880E84" w:rsidRPr="00992253" w:rsidRDefault="00880E84" w:rsidP="00880E84">
      <w:pPr>
        <w:jc w:val="both"/>
        <w:rPr>
          <w:b/>
          <w:bCs/>
          <w:sz w:val="16"/>
          <w:szCs w:val="16"/>
        </w:rPr>
      </w:pPr>
    </w:p>
    <w:p w14:paraId="3EA699C8" w14:textId="3FE00C01" w:rsidR="00880E84" w:rsidRPr="00992253" w:rsidRDefault="00880E84" w:rsidP="007528AA">
      <w:pPr>
        <w:pStyle w:val="ICASBoxOutBody"/>
      </w:pPr>
      <w:r w:rsidRPr="00992253">
        <w:t xml:space="preserve">This document has been published by ICAS for information purposes only and ICAS cannot accept responsibility for any person acting or refraining to act as a result of any material contained within this guidance. Recipients should make their own independent evaluation of this information and no action should be taken, solely relying on it. The </w:t>
      </w:r>
      <w:r w:rsidR="006C31CC">
        <w:t>document</w:t>
      </w:r>
      <w:r w:rsidRPr="00992253">
        <w:t xml:space="preserve"> is intended to assist members in the general application of the </w:t>
      </w:r>
      <w:r w:rsidR="006C31CC">
        <w:t>subject</w:t>
      </w:r>
      <w:r w:rsidRPr="00992253">
        <w:t xml:space="preserve">, it is not intended to cover all aspects. </w:t>
      </w:r>
    </w:p>
    <w:p w14:paraId="186657EA" w14:textId="77777777" w:rsidR="00880E84" w:rsidRPr="00992253" w:rsidRDefault="00880E84" w:rsidP="007528AA">
      <w:pPr>
        <w:pStyle w:val="ICASBoxOutBody"/>
      </w:pPr>
    </w:p>
    <w:p w14:paraId="29475FB6" w14:textId="77777777" w:rsidR="00880E84" w:rsidRPr="00992253" w:rsidRDefault="00880E84" w:rsidP="007528AA">
      <w:pPr>
        <w:pStyle w:val="ICASBoxOutBody"/>
      </w:pPr>
      <w:r w:rsidRPr="00992253">
        <w:t>Whilst this information is believed to be reliable, ICAS, its employees and others involved in the production of this information do not provide any representation or warranty (express or implied) of any kind as regards the accuracy or completeness of this information, nor do they accept any responsibility or liability for loss or damage arising in any way from any use made of or reliance placed on this information.</w:t>
      </w:r>
    </w:p>
    <w:p w14:paraId="322F8955" w14:textId="77777777" w:rsidR="00880E84" w:rsidRPr="00992253" w:rsidRDefault="00880E84" w:rsidP="007528AA">
      <w:pPr>
        <w:pStyle w:val="ICASBoxOutBody"/>
      </w:pPr>
    </w:p>
    <w:p w14:paraId="305F1126" w14:textId="64B44EE7" w:rsidR="00880E84" w:rsidRDefault="00880E84" w:rsidP="007528AA">
      <w:pPr>
        <w:pStyle w:val="ICASBoxOutBody"/>
      </w:pPr>
      <w:r w:rsidRPr="00992253">
        <w:t>All information is believed to be correct at the time of publication.</w:t>
      </w:r>
    </w:p>
    <w:sectPr w:rsidR="00880E84" w:rsidSect="005B7194">
      <w:headerReference w:type="default" r:id="rId19"/>
      <w:footerReference w:type="default" r:id="rId20"/>
      <w:pgSz w:w="11910" w:h="16850"/>
      <w:pgMar w:top="1400" w:right="1278" w:bottom="1200" w:left="1300" w:header="680" w:footer="101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AB965" w14:textId="77777777" w:rsidR="00C60AB7" w:rsidRDefault="00C60AB7">
      <w:r>
        <w:separator/>
      </w:r>
    </w:p>
  </w:endnote>
  <w:endnote w:type="continuationSeparator" w:id="0">
    <w:p w14:paraId="0E30A3D5" w14:textId="77777777" w:rsidR="00C60AB7" w:rsidRDefault="00C60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5BCA7" w14:textId="6C187C3A" w:rsidR="00033FD4" w:rsidRDefault="00033FD4">
    <w:pP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1C0CF" w14:textId="77777777" w:rsidR="00C60AB7" w:rsidRDefault="00C60AB7">
      <w:r>
        <w:separator/>
      </w:r>
    </w:p>
  </w:footnote>
  <w:footnote w:type="continuationSeparator" w:id="0">
    <w:p w14:paraId="3DF7470F" w14:textId="77777777" w:rsidR="00C60AB7" w:rsidRDefault="00C60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C2A32" w14:textId="10FE47CF" w:rsidR="00DD2889" w:rsidRDefault="005974D3" w:rsidP="002F2969">
    <w:pPr>
      <w:spacing w:line="14" w:lineRule="auto"/>
      <w:jc w:val="right"/>
    </w:pPr>
    <w:r>
      <w:rPr>
        <w:noProof/>
      </w:rPr>
      <w:drawing>
        <wp:anchor distT="0" distB="0" distL="114300" distR="114300" simplePos="0" relativeHeight="251658240" behindDoc="0" locked="0" layoutInCell="1" allowOverlap="1" wp14:anchorId="7E30FA53" wp14:editId="44DA2277">
          <wp:simplePos x="0" y="0"/>
          <wp:positionH relativeFrom="column">
            <wp:posOffset>5099075</wp:posOffset>
          </wp:positionH>
          <wp:positionV relativeFrom="paragraph">
            <wp:posOffset>-346075</wp:posOffset>
          </wp:positionV>
          <wp:extent cx="695325" cy="720116"/>
          <wp:effectExtent l="0" t="0" r="0" b="0"/>
          <wp:wrapNone/>
          <wp:docPr id="2041681626"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681626" name="Picture 2041681626" descr="Icon&#10;&#10;Description automatically generated"/>
                  <pic:cNvPicPr>
                    <a:picLocks noChangeAspect="1"/>
                  </pic:cNvPicPr>
                </pic:nvPicPr>
                <pic:blipFill rotWithShape="1">
                  <a:blip r:embed="rId1" cstate="print">
                    <a:extLst>
                      <a:ext uri="{28A0092B-C50C-407E-A947-70E740481C1C}">
                        <a14:useLocalDpi xmlns:a14="http://schemas.microsoft.com/office/drawing/2010/main" val="0"/>
                      </a:ext>
                    </a:extLst>
                  </a:blip>
                  <a:srcRect l="449" t="312" r="449" b="312"/>
                  <a:stretch/>
                </pic:blipFill>
                <pic:spPr bwMode="auto">
                  <a:xfrm>
                    <a:off x="0" y="0"/>
                    <a:ext cx="695325" cy="72011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776E989" w14:textId="59E067E3" w:rsidR="00033FD4" w:rsidRDefault="00033FD4">
    <w:pPr>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629AA"/>
    <w:multiLevelType w:val="hybridMultilevel"/>
    <w:tmpl w:val="04080BB4"/>
    <w:lvl w:ilvl="0" w:tplc="1FB25474">
      <w:start w:val="1"/>
      <w:numFmt w:val="bullet"/>
      <w:pStyle w:val="ICASBulletssecondlevel"/>
      <w:lvlText w:val=""/>
      <w:lvlJc w:val="left"/>
      <w:pPr>
        <w:ind w:left="454" w:hanging="170"/>
      </w:pPr>
      <w:rPr>
        <w:rFonts w:ascii="Symbol" w:hAnsi="Symbol" w:hint="default"/>
        <w:color w:val="5858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8269AD"/>
    <w:multiLevelType w:val="hybridMultilevel"/>
    <w:tmpl w:val="D3BC4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E48AB"/>
    <w:multiLevelType w:val="hybridMultilevel"/>
    <w:tmpl w:val="2668F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640AD0"/>
    <w:multiLevelType w:val="hybridMultilevel"/>
    <w:tmpl w:val="60BEB4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745B42"/>
    <w:multiLevelType w:val="hybridMultilevel"/>
    <w:tmpl w:val="D6BC6446"/>
    <w:lvl w:ilvl="0" w:tplc="EBF80BFE">
      <w:start w:val="1"/>
      <w:numFmt w:val="bullet"/>
      <w:pStyle w:val="Title"/>
      <w:lvlText w:val=""/>
      <w:lvlJc w:val="left"/>
      <w:pPr>
        <w:ind w:left="720" w:hanging="360"/>
      </w:pPr>
      <w:rPr>
        <w:rFonts w:ascii="Symbol" w:hAnsi="Symbol" w:hint="default"/>
        <w:color w:val="4D46D9" w:themeColor="text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8B67C1C"/>
    <w:multiLevelType w:val="hybridMultilevel"/>
    <w:tmpl w:val="26CE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3267B7"/>
    <w:multiLevelType w:val="hybridMultilevel"/>
    <w:tmpl w:val="4568FA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EE325F4"/>
    <w:multiLevelType w:val="hybridMultilevel"/>
    <w:tmpl w:val="8A28CBCC"/>
    <w:lvl w:ilvl="0" w:tplc="E0501802">
      <w:numFmt w:val="bullet"/>
      <w:lvlText w:val=""/>
      <w:lvlJc w:val="left"/>
      <w:pPr>
        <w:ind w:left="838" w:hanging="360"/>
      </w:pPr>
      <w:rPr>
        <w:rFonts w:ascii="Symbol" w:eastAsia="Symbol" w:hAnsi="Symbol" w:cs="Symbol" w:hint="default"/>
        <w:w w:val="99"/>
        <w:sz w:val="20"/>
        <w:szCs w:val="20"/>
        <w:lang w:val="en-US" w:eastAsia="en-US" w:bidi="en-US"/>
      </w:rPr>
    </w:lvl>
    <w:lvl w:ilvl="1" w:tplc="6C86EA34">
      <w:numFmt w:val="bullet"/>
      <w:lvlText w:val="•"/>
      <w:lvlJc w:val="left"/>
      <w:pPr>
        <w:ind w:left="1756" w:hanging="360"/>
      </w:pPr>
      <w:rPr>
        <w:rFonts w:hint="default"/>
        <w:lang w:val="en-US" w:eastAsia="en-US" w:bidi="en-US"/>
      </w:rPr>
    </w:lvl>
    <w:lvl w:ilvl="2" w:tplc="8E9EA608">
      <w:numFmt w:val="bullet"/>
      <w:lvlText w:val="•"/>
      <w:lvlJc w:val="left"/>
      <w:pPr>
        <w:ind w:left="2673" w:hanging="360"/>
      </w:pPr>
      <w:rPr>
        <w:rFonts w:hint="default"/>
        <w:lang w:val="en-US" w:eastAsia="en-US" w:bidi="en-US"/>
      </w:rPr>
    </w:lvl>
    <w:lvl w:ilvl="3" w:tplc="F9FAA308">
      <w:numFmt w:val="bullet"/>
      <w:lvlText w:val="•"/>
      <w:lvlJc w:val="left"/>
      <w:pPr>
        <w:ind w:left="3589" w:hanging="360"/>
      </w:pPr>
      <w:rPr>
        <w:rFonts w:hint="default"/>
        <w:lang w:val="en-US" w:eastAsia="en-US" w:bidi="en-US"/>
      </w:rPr>
    </w:lvl>
    <w:lvl w:ilvl="4" w:tplc="E154172A">
      <w:numFmt w:val="bullet"/>
      <w:lvlText w:val="•"/>
      <w:lvlJc w:val="left"/>
      <w:pPr>
        <w:ind w:left="4506" w:hanging="360"/>
      </w:pPr>
      <w:rPr>
        <w:rFonts w:hint="default"/>
        <w:lang w:val="en-US" w:eastAsia="en-US" w:bidi="en-US"/>
      </w:rPr>
    </w:lvl>
    <w:lvl w:ilvl="5" w:tplc="F9A6D7D6">
      <w:numFmt w:val="bullet"/>
      <w:lvlText w:val="•"/>
      <w:lvlJc w:val="left"/>
      <w:pPr>
        <w:ind w:left="5423" w:hanging="360"/>
      </w:pPr>
      <w:rPr>
        <w:rFonts w:hint="default"/>
        <w:lang w:val="en-US" w:eastAsia="en-US" w:bidi="en-US"/>
      </w:rPr>
    </w:lvl>
    <w:lvl w:ilvl="6" w:tplc="E06C3882">
      <w:numFmt w:val="bullet"/>
      <w:lvlText w:val="•"/>
      <w:lvlJc w:val="left"/>
      <w:pPr>
        <w:ind w:left="6339" w:hanging="360"/>
      </w:pPr>
      <w:rPr>
        <w:rFonts w:hint="default"/>
        <w:lang w:val="en-US" w:eastAsia="en-US" w:bidi="en-US"/>
      </w:rPr>
    </w:lvl>
    <w:lvl w:ilvl="7" w:tplc="25FCAB82">
      <w:numFmt w:val="bullet"/>
      <w:lvlText w:val="•"/>
      <w:lvlJc w:val="left"/>
      <w:pPr>
        <w:ind w:left="7256" w:hanging="360"/>
      </w:pPr>
      <w:rPr>
        <w:rFonts w:hint="default"/>
        <w:lang w:val="en-US" w:eastAsia="en-US" w:bidi="en-US"/>
      </w:rPr>
    </w:lvl>
    <w:lvl w:ilvl="8" w:tplc="2C9CDB8E">
      <w:numFmt w:val="bullet"/>
      <w:lvlText w:val="•"/>
      <w:lvlJc w:val="left"/>
      <w:pPr>
        <w:ind w:left="8173" w:hanging="360"/>
      </w:pPr>
      <w:rPr>
        <w:rFonts w:hint="default"/>
        <w:lang w:val="en-US" w:eastAsia="en-US" w:bidi="en-US"/>
      </w:rPr>
    </w:lvl>
  </w:abstractNum>
  <w:num w:numId="1" w16cid:durableId="69812735">
    <w:abstractNumId w:val="7"/>
  </w:num>
  <w:num w:numId="2" w16cid:durableId="550575268">
    <w:abstractNumId w:val="2"/>
  </w:num>
  <w:num w:numId="3" w16cid:durableId="717045427">
    <w:abstractNumId w:val="1"/>
  </w:num>
  <w:num w:numId="4" w16cid:durableId="1585723784">
    <w:abstractNumId w:val="5"/>
  </w:num>
  <w:num w:numId="5" w16cid:durableId="82067021">
    <w:abstractNumId w:val="3"/>
  </w:num>
  <w:num w:numId="6" w16cid:durableId="165945575">
    <w:abstractNumId w:val="6"/>
  </w:num>
  <w:num w:numId="7" w16cid:durableId="1847281852">
    <w:abstractNumId w:val="0"/>
  </w:num>
  <w:num w:numId="8" w16cid:durableId="508907750">
    <w:abstractNumId w:val="4"/>
  </w:num>
  <w:num w:numId="9" w16cid:durableId="1649897246">
    <w:abstractNumId w:val="4"/>
  </w:num>
  <w:num w:numId="10" w16cid:durableId="736905949">
    <w:abstractNumId w:val="0"/>
  </w:num>
  <w:num w:numId="11" w16cid:durableId="589773708">
    <w:abstractNumId w:val="4"/>
  </w:num>
  <w:num w:numId="12" w16cid:durableId="613291336">
    <w:abstractNumId w:val="0"/>
  </w:num>
  <w:num w:numId="13" w16cid:durableId="1303536545">
    <w:abstractNumId w:val="4"/>
  </w:num>
  <w:num w:numId="14" w16cid:durableId="1727144951">
    <w:abstractNumId w:val="0"/>
  </w:num>
  <w:num w:numId="15" w16cid:durableId="1195383814">
    <w:abstractNumId w:val="4"/>
  </w:num>
  <w:num w:numId="16" w16cid:durableId="944729267">
    <w:abstractNumId w:val="0"/>
  </w:num>
  <w:num w:numId="17" w16cid:durableId="955020128">
    <w:abstractNumId w:val="4"/>
  </w:num>
  <w:num w:numId="18" w16cid:durableId="2096628265">
    <w:abstractNumId w:val="0"/>
  </w:num>
  <w:num w:numId="19" w16cid:durableId="1818573284">
    <w:abstractNumId w:val="4"/>
  </w:num>
  <w:num w:numId="20" w16cid:durableId="655300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033FD4"/>
    <w:rsid w:val="00002379"/>
    <w:rsid w:val="00005787"/>
    <w:rsid w:val="0002362B"/>
    <w:rsid w:val="00031556"/>
    <w:rsid w:val="00033FD4"/>
    <w:rsid w:val="00045559"/>
    <w:rsid w:val="00065409"/>
    <w:rsid w:val="00071017"/>
    <w:rsid w:val="000754B7"/>
    <w:rsid w:val="0009157A"/>
    <w:rsid w:val="00096504"/>
    <w:rsid w:val="000B1427"/>
    <w:rsid w:val="000B2209"/>
    <w:rsid w:val="000B448E"/>
    <w:rsid w:val="000C3744"/>
    <w:rsid w:val="000C54B2"/>
    <w:rsid w:val="000D1895"/>
    <w:rsid w:val="000D4804"/>
    <w:rsid w:val="000D72BE"/>
    <w:rsid w:val="000F71D5"/>
    <w:rsid w:val="00102341"/>
    <w:rsid w:val="0010466F"/>
    <w:rsid w:val="00122B3F"/>
    <w:rsid w:val="00131FE7"/>
    <w:rsid w:val="0013492B"/>
    <w:rsid w:val="00135477"/>
    <w:rsid w:val="00143FFD"/>
    <w:rsid w:val="00144954"/>
    <w:rsid w:val="00147DDF"/>
    <w:rsid w:val="00156A89"/>
    <w:rsid w:val="001733E0"/>
    <w:rsid w:val="00177BAA"/>
    <w:rsid w:val="00184267"/>
    <w:rsid w:val="001876A2"/>
    <w:rsid w:val="001955A6"/>
    <w:rsid w:val="001A4F25"/>
    <w:rsid w:val="001B00D3"/>
    <w:rsid w:val="001C3165"/>
    <w:rsid w:val="001D1327"/>
    <w:rsid w:val="001D6B1D"/>
    <w:rsid w:val="002033EA"/>
    <w:rsid w:val="00207614"/>
    <w:rsid w:val="002539AA"/>
    <w:rsid w:val="0026421C"/>
    <w:rsid w:val="00266934"/>
    <w:rsid w:val="002673F4"/>
    <w:rsid w:val="00285E67"/>
    <w:rsid w:val="002A30D1"/>
    <w:rsid w:val="002A4EC1"/>
    <w:rsid w:val="002B14E5"/>
    <w:rsid w:val="002E1A73"/>
    <w:rsid w:val="002E4D65"/>
    <w:rsid w:val="002E536C"/>
    <w:rsid w:val="002F2969"/>
    <w:rsid w:val="002F2ACC"/>
    <w:rsid w:val="00303CBC"/>
    <w:rsid w:val="003061EF"/>
    <w:rsid w:val="00315D0A"/>
    <w:rsid w:val="00316496"/>
    <w:rsid w:val="003166EA"/>
    <w:rsid w:val="00341FEC"/>
    <w:rsid w:val="00347273"/>
    <w:rsid w:val="00354F94"/>
    <w:rsid w:val="00356A77"/>
    <w:rsid w:val="00357ABB"/>
    <w:rsid w:val="00376F85"/>
    <w:rsid w:val="003A7943"/>
    <w:rsid w:val="003B022A"/>
    <w:rsid w:val="003B0D60"/>
    <w:rsid w:val="003B10E4"/>
    <w:rsid w:val="003C1EFC"/>
    <w:rsid w:val="003D7CAC"/>
    <w:rsid w:val="003F4074"/>
    <w:rsid w:val="003F692B"/>
    <w:rsid w:val="0040042F"/>
    <w:rsid w:val="00416D6F"/>
    <w:rsid w:val="00417A82"/>
    <w:rsid w:val="00422B43"/>
    <w:rsid w:val="004253F7"/>
    <w:rsid w:val="00441E1E"/>
    <w:rsid w:val="00446375"/>
    <w:rsid w:val="004543F9"/>
    <w:rsid w:val="00460AA1"/>
    <w:rsid w:val="004637D0"/>
    <w:rsid w:val="004665E7"/>
    <w:rsid w:val="00473528"/>
    <w:rsid w:val="00491F8A"/>
    <w:rsid w:val="00497684"/>
    <w:rsid w:val="004A0A4C"/>
    <w:rsid w:val="004B29B5"/>
    <w:rsid w:val="004B3FA6"/>
    <w:rsid w:val="004B7BEF"/>
    <w:rsid w:val="004C212F"/>
    <w:rsid w:val="004C27C1"/>
    <w:rsid w:val="004C284D"/>
    <w:rsid w:val="004C7A35"/>
    <w:rsid w:val="004D4429"/>
    <w:rsid w:val="004D4EB3"/>
    <w:rsid w:val="004E6B4E"/>
    <w:rsid w:val="004F1471"/>
    <w:rsid w:val="004F1847"/>
    <w:rsid w:val="004F55F3"/>
    <w:rsid w:val="00500757"/>
    <w:rsid w:val="00506549"/>
    <w:rsid w:val="0051061E"/>
    <w:rsid w:val="005126DC"/>
    <w:rsid w:val="00514644"/>
    <w:rsid w:val="00521D2B"/>
    <w:rsid w:val="00527ACC"/>
    <w:rsid w:val="00534168"/>
    <w:rsid w:val="0053646B"/>
    <w:rsid w:val="0055468C"/>
    <w:rsid w:val="005649F1"/>
    <w:rsid w:val="00571EA8"/>
    <w:rsid w:val="00575075"/>
    <w:rsid w:val="00575317"/>
    <w:rsid w:val="00577893"/>
    <w:rsid w:val="00585858"/>
    <w:rsid w:val="00590D36"/>
    <w:rsid w:val="005974D3"/>
    <w:rsid w:val="005975D5"/>
    <w:rsid w:val="005B7194"/>
    <w:rsid w:val="005B75EB"/>
    <w:rsid w:val="005C3B9A"/>
    <w:rsid w:val="005D1FB8"/>
    <w:rsid w:val="005D6557"/>
    <w:rsid w:val="005D71E2"/>
    <w:rsid w:val="005E1ABA"/>
    <w:rsid w:val="00601920"/>
    <w:rsid w:val="0060405B"/>
    <w:rsid w:val="006152C8"/>
    <w:rsid w:val="00622990"/>
    <w:rsid w:val="00624C75"/>
    <w:rsid w:val="0063090E"/>
    <w:rsid w:val="006353A7"/>
    <w:rsid w:val="006363AC"/>
    <w:rsid w:val="00655812"/>
    <w:rsid w:val="0065740F"/>
    <w:rsid w:val="00662F55"/>
    <w:rsid w:val="006772C3"/>
    <w:rsid w:val="006805F2"/>
    <w:rsid w:val="006878A3"/>
    <w:rsid w:val="00695DBD"/>
    <w:rsid w:val="00696A36"/>
    <w:rsid w:val="006975EF"/>
    <w:rsid w:val="006C31CC"/>
    <w:rsid w:val="006C4121"/>
    <w:rsid w:val="006D23CA"/>
    <w:rsid w:val="006D369A"/>
    <w:rsid w:val="006F0C36"/>
    <w:rsid w:val="006F6114"/>
    <w:rsid w:val="007030EE"/>
    <w:rsid w:val="007135AE"/>
    <w:rsid w:val="00713984"/>
    <w:rsid w:val="00716293"/>
    <w:rsid w:val="00717AD4"/>
    <w:rsid w:val="00721140"/>
    <w:rsid w:val="00741BFA"/>
    <w:rsid w:val="00747153"/>
    <w:rsid w:val="007528AA"/>
    <w:rsid w:val="0076279D"/>
    <w:rsid w:val="007B4688"/>
    <w:rsid w:val="007C56D9"/>
    <w:rsid w:val="007D4DB7"/>
    <w:rsid w:val="007F5847"/>
    <w:rsid w:val="008002B2"/>
    <w:rsid w:val="00813824"/>
    <w:rsid w:val="008350CA"/>
    <w:rsid w:val="008457D3"/>
    <w:rsid w:val="00852F12"/>
    <w:rsid w:val="008668A6"/>
    <w:rsid w:val="008669E9"/>
    <w:rsid w:val="0087341E"/>
    <w:rsid w:val="00875B84"/>
    <w:rsid w:val="0088082D"/>
    <w:rsid w:val="00880E84"/>
    <w:rsid w:val="008816DD"/>
    <w:rsid w:val="00893A74"/>
    <w:rsid w:val="008A1834"/>
    <w:rsid w:val="008A1946"/>
    <w:rsid w:val="008A7155"/>
    <w:rsid w:val="008B6590"/>
    <w:rsid w:val="008C00AB"/>
    <w:rsid w:val="008C07FE"/>
    <w:rsid w:val="008D0037"/>
    <w:rsid w:val="008D247B"/>
    <w:rsid w:val="008D7706"/>
    <w:rsid w:val="008E1D99"/>
    <w:rsid w:val="008E3A39"/>
    <w:rsid w:val="008E56BD"/>
    <w:rsid w:val="008F516D"/>
    <w:rsid w:val="00905897"/>
    <w:rsid w:val="009058C2"/>
    <w:rsid w:val="00916817"/>
    <w:rsid w:val="00925464"/>
    <w:rsid w:val="00930727"/>
    <w:rsid w:val="00931F8A"/>
    <w:rsid w:val="009375F3"/>
    <w:rsid w:val="009401B9"/>
    <w:rsid w:val="009739A8"/>
    <w:rsid w:val="00980C7E"/>
    <w:rsid w:val="00992253"/>
    <w:rsid w:val="0099542F"/>
    <w:rsid w:val="00996B4D"/>
    <w:rsid w:val="009B19DC"/>
    <w:rsid w:val="009B5939"/>
    <w:rsid w:val="009C2B9C"/>
    <w:rsid w:val="009D17A4"/>
    <w:rsid w:val="009D6D6E"/>
    <w:rsid w:val="009E2D52"/>
    <w:rsid w:val="009E606C"/>
    <w:rsid w:val="009F2E5C"/>
    <w:rsid w:val="009F5DC4"/>
    <w:rsid w:val="00A069DF"/>
    <w:rsid w:val="00A128C5"/>
    <w:rsid w:val="00A16B9F"/>
    <w:rsid w:val="00A23E00"/>
    <w:rsid w:val="00A42F9D"/>
    <w:rsid w:val="00A558F3"/>
    <w:rsid w:val="00A57176"/>
    <w:rsid w:val="00A70DAE"/>
    <w:rsid w:val="00A77B14"/>
    <w:rsid w:val="00A81795"/>
    <w:rsid w:val="00AA29F6"/>
    <w:rsid w:val="00AA758B"/>
    <w:rsid w:val="00AB49B2"/>
    <w:rsid w:val="00AE2987"/>
    <w:rsid w:val="00AE43B2"/>
    <w:rsid w:val="00AF7A7B"/>
    <w:rsid w:val="00B042A1"/>
    <w:rsid w:val="00B07B21"/>
    <w:rsid w:val="00B3154B"/>
    <w:rsid w:val="00B34421"/>
    <w:rsid w:val="00B354E2"/>
    <w:rsid w:val="00B41B69"/>
    <w:rsid w:val="00B464DD"/>
    <w:rsid w:val="00B5086D"/>
    <w:rsid w:val="00B517DB"/>
    <w:rsid w:val="00B51C1E"/>
    <w:rsid w:val="00B5211B"/>
    <w:rsid w:val="00B56370"/>
    <w:rsid w:val="00B763F1"/>
    <w:rsid w:val="00B86770"/>
    <w:rsid w:val="00B96E48"/>
    <w:rsid w:val="00BA78A3"/>
    <w:rsid w:val="00BB38EA"/>
    <w:rsid w:val="00BC0D2E"/>
    <w:rsid w:val="00BD1DAF"/>
    <w:rsid w:val="00BD45A4"/>
    <w:rsid w:val="00BD7352"/>
    <w:rsid w:val="00BF10D9"/>
    <w:rsid w:val="00BF34CC"/>
    <w:rsid w:val="00BF5CC7"/>
    <w:rsid w:val="00C00EFB"/>
    <w:rsid w:val="00C06AA8"/>
    <w:rsid w:val="00C11C24"/>
    <w:rsid w:val="00C1462F"/>
    <w:rsid w:val="00C2014B"/>
    <w:rsid w:val="00C22898"/>
    <w:rsid w:val="00C46860"/>
    <w:rsid w:val="00C4692D"/>
    <w:rsid w:val="00C60AB7"/>
    <w:rsid w:val="00C62B22"/>
    <w:rsid w:val="00C72BDE"/>
    <w:rsid w:val="00C7339B"/>
    <w:rsid w:val="00C819D3"/>
    <w:rsid w:val="00C92259"/>
    <w:rsid w:val="00C975E4"/>
    <w:rsid w:val="00C97DD4"/>
    <w:rsid w:val="00CC1D9E"/>
    <w:rsid w:val="00CC74F7"/>
    <w:rsid w:val="00CD2D4F"/>
    <w:rsid w:val="00CE0FD8"/>
    <w:rsid w:val="00CE12B2"/>
    <w:rsid w:val="00CE215A"/>
    <w:rsid w:val="00CE4E12"/>
    <w:rsid w:val="00CF0C45"/>
    <w:rsid w:val="00CF1A87"/>
    <w:rsid w:val="00D04679"/>
    <w:rsid w:val="00D134C2"/>
    <w:rsid w:val="00D15945"/>
    <w:rsid w:val="00D16A92"/>
    <w:rsid w:val="00D209F8"/>
    <w:rsid w:val="00D35792"/>
    <w:rsid w:val="00D36CD3"/>
    <w:rsid w:val="00D550D6"/>
    <w:rsid w:val="00D61F04"/>
    <w:rsid w:val="00D75F8B"/>
    <w:rsid w:val="00D82195"/>
    <w:rsid w:val="00D82CA9"/>
    <w:rsid w:val="00D922B6"/>
    <w:rsid w:val="00DA016D"/>
    <w:rsid w:val="00DA171C"/>
    <w:rsid w:val="00DA6BB9"/>
    <w:rsid w:val="00DD2574"/>
    <w:rsid w:val="00DD2889"/>
    <w:rsid w:val="00DD5C38"/>
    <w:rsid w:val="00DD6881"/>
    <w:rsid w:val="00E0794F"/>
    <w:rsid w:val="00E1328D"/>
    <w:rsid w:val="00E20D81"/>
    <w:rsid w:val="00E21965"/>
    <w:rsid w:val="00E27747"/>
    <w:rsid w:val="00E27EA0"/>
    <w:rsid w:val="00E45B8C"/>
    <w:rsid w:val="00E4765D"/>
    <w:rsid w:val="00E54F96"/>
    <w:rsid w:val="00E7488D"/>
    <w:rsid w:val="00E86477"/>
    <w:rsid w:val="00EA100F"/>
    <w:rsid w:val="00EB3655"/>
    <w:rsid w:val="00EE681B"/>
    <w:rsid w:val="00EF1533"/>
    <w:rsid w:val="00EF2278"/>
    <w:rsid w:val="00EF7854"/>
    <w:rsid w:val="00F04BFF"/>
    <w:rsid w:val="00F0788B"/>
    <w:rsid w:val="00F10A6C"/>
    <w:rsid w:val="00F120BF"/>
    <w:rsid w:val="00F14DFD"/>
    <w:rsid w:val="00F25663"/>
    <w:rsid w:val="00F25B29"/>
    <w:rsid w:val="00F2670B"/>
    <w:rsid w:val="00F34781"/>
    <w:rsid w:val="00F3715F"/>
    <w:rsid w:val="00F462EE"/>
    <w:rsid w:val="00F531D0"/>
    <w:rsid w:val="00F54412"/>
    <w:rsid w:val="00F63FF5"/>
    <w:rsid w:val="00F662B8"/>
    <w:rsid w:val="00F85B53"/>
    <w:rsid w:val="00FA3A51"/>
    <w:rsid w:val="00FB3F8A"/>
    <w:rsid w:val="00FC20D2"/>
    <w:rsid w:val="00FC3B24"/>
    <w:rsid w:val="00FC77A6"/>
    <w:rsid w:val="00FD3914"/>
    <w:rsid w:val="00FD3B6A"/>
    <w:rsid w:val="00FD4552"/>
    <w:rsid w:val="00FE0CFB"/>
    <w:rsid w:val="00FE7C9B"/>
    <w:rsid w:val="00FF2E46"/>
    <w:rsid w:val="00FF6BB2"/>
    <w:rsid w:val="2A0D2C4D"/>
    <w:rsid w:val="34FD072D"/>
    <w:rsid w:val="3A316513"/>
    <w:rsid w:val="3C55FB07"/>
    <w:rsid w:val="48297085"/>
    <w:rsid w:val="6791334B"/>
    <w:rsid w:val="68DB24C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0B15B"/>
  <w15:docId w15:val="{8B45F25F-7DAB-4016-BB46-DBC4782F1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792"/>
  </w:style>
  <w:style w:type="paragraph" w:styleId="Heading1">
    <w:name w:val="heading 1"/>
    <w:aliases w:val="ICAS | Heading"/>
    <w:basedOn w:val="Normal"/>
    <w:next w:val="Normal"/>
    <w:link w:val="Heading1Char"/>
    <w:uiPriority w:val="9"/>
    <w:qFormat/>
    <w:rsid w:val="00D35792"/>
    <w:pPr>
      <w:spacing w:after="280"/>
      <w:outlineLvl w:val="0"/>
    </w:pPr>
    <w:rPr>
      <w:rFonts w:ascii="Arial" w:hAnsi="Arial" w:cs="Arial"/>
      <w:color w:val="4D46D9" w:themeColor="text2"/>
      <w:sz w:val="40"/>
      <w:szCs w:val="40"/>
    </w:rPr>
  </w:style>
  <w:style w:type="paragraph" w:styleId="Heading2">
    <w:name w:val="heading 2"/>
    <w:aliases w:val="ICAS | Subhead 2"/>
    <w:basedOn w:val="Normal"/>
    <w:next w:val="Normal"/>
    <w:link w:val="Heading2Char"/>
    <w:uiPriority w:val="9"/>
    <w:unhideWhenUsed/>
    <w:qFormat/>
    <w:rsid w:val="00D35792"/>
    <w:pPr>
      <w:spacing w:after="100"/>
      <w:outlineLvl w:val="1"/>
    </w:pPr>
    <w:rPr>
      <w:rFonts w:ascii="Arial" w:hAnsi="Arial" w:cs="Arial"/>
      <w:b/>
      <w:bCs/>
      <w:color w:val="000000"/>
      <w:sz w:val="28"/>
      <w:szCs w:val="28"/>
    </w:rPr>
  </w:style>
  <w:style w:type="paragraph" w:styleId="Heading3">
    <w:name w:val="heading 3"/>
    <w:basedOn w:val="Normal"/>
    <w:next w:val="Normal"/>
    <w:link w:val="Heading3Char"/>
    <w:uiPriority w:val="9"/>
    <w:semiHidden/>
    <w:unhideWhenUsed/>
    <w:qFormat/>
    <w:rsid w:val="007528AA"/>
    <w:pPr>
      <w:keepNext/>
      <w:keepLines/>
      <w:spacing w:before="40"/>
      <w:outlineLvl w:val="2"/>
    </w:pPr>
    <w:rPr>
      <w:rFonts w:asciiTheme="majorHAnsi" w:eastAsiaTheme="majorEastAsia" w:hAnsiTheme="majorHAnsi" w:cstheme="majorBidi"/>
      <w:color w:val="3D485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528AA"/>
    <w:pPr>
      <w:tabs>
        <w:tab w:val="center" w:pos="4513"/>
        <w:tab w:val="right" w:pos="9026"/>
      </w:tabs>
    </w:pPr>
  </w:style>
  <w:style w:type="character" w:customStyle="1" w:styleId="FooterChar">
    <w:name w:val="Footer Char"/>
    <w:basedOn w:val="DefaultParagraphFont"/>
    <w:link w:val="Footer"/>
    <w:uiPriority w:val="99"/>
    <w:rsid w:val="007528AA"/>
    <w:rPr>
      <w:sz w:val="24"/>
      <w:szCs w:val="24"/>
      <w:lang w:val="en-GB" w:eastAsia="en-GB"/>
    </w:rPr>
  </w:style>
  <w:style w:type="paragraph" w:styleId="Header">
    <w:name w:val="header"/>
    <w:aliases w:val="ICAS | Table Heading"/>
    <w:basedOn w:val="Normal"/>
    <w:link w:val="HeaderChar"/>
    <w:uiPriority w:val="99"/>
    <w:unhideWhenUsed/>
    <w:rsid w:val="007528AA"/>
    <w:rPr>
      <w:rFonts w:ascii="Arial" w:hAnsi="Arial" w:cs="Arial"/>
      <w:b/>
      <w:bCs/>
      <w:color w:val="FFFFFF" w:themeColor="background1"/>
      <w:sz w:val="20"/>
      <w:szCs w:val="20"/>
    </w:rPr>
  </w:style>
  <w:style w:type="character" w:customStyle="1" w:styleId="HeaderChar">
    <w:name w:val="Header Char"/>
    <w:aliases w:val="ICAS | Table Heading Char"/>
    <w:basedOn w:val="DefaultParagraphFont"/>
    <w:link w:val="Header"/>
    <w:uiPriority w:val="99"/>
    <w:rsid w:val="007528AA"/>
    <w:rPr>
      <w:rFonts w:ascii="Arial" w:hAnsi="Arial" w:cs="Arial"/>
      <w:b/>
      <w:bCs/>
      <w:color w:val="FFFFFF" w:themeColor="background1"/>
      <w:sz w:val="20"/>
      <w:szCs w:val="20"/>
      <w:lang w:val="en-GB" w:eastAsia="en-GB"/>
    </w:rPr>
  </w:style>
  <w:style w:type="character" w:customStyle="1" w:styleId="Heading1Char">
    <w:name w:val="Heading 1 Char"/>
    <w:aliases w:val="ICAS | Heading Char"/>
    <w:basedOn w:val="DefaultParagraphFont"/>
    <w:link w:val="Heading1"/>
    <w:uiPriority w:val="9"/>
    <w:rsid w:val="00D35792"/>
    <w:rPr>
      <w:rFonts w:ascii="Arial" w:hAnsi="Arial" w:cs="Arial"/>
      <w:color w:val="4D46D9" w:themeColor="text2"/>
      <w:sz w:val="40"/>
      <w:szCs w:val="40"/>
    </w:rPr>
  </w:style>
  <w:style w:type="character" w:customStyle="1" w:styleId="Heading2Char">
    <w:name w:val="Heading 2 Char"/>
    <w:aliases w:val="ICAS | Subhead 2 Char"/>
    <w:basedOn w:val="DefaultParagraphFont"/>
    <w:link w:val="Heading2"/>
    <w:uiPriority w:val="9"/>
    <w:rsid w:val="00D35792"/>
    <w:rPr>
      <w:rFonts w:ascii="Arial" w:hAnsi="Arial" w:cs="Arial"/>
      <w:b/>
      <w:bCs/>
      <w:color w:val="000000"/>
      <w:sz w:val="28"/>
      <w:szCs w:val="28"/>
    </w:rPr>
  </w:style>
  <w:style w:type="character" w:customStyle="1" w:styleId="Heading3Char">
    <w:name w:val="Heading 3 Char"/>
    <w:basedOn w:val="DefaultParagraphFont"/>
    <w:link w:val="Heading3"/>
    <w:uiPriority w:val="9"/>
    <w:semiHidden/>
    <w:rsid w:val="007528AA"/>
    <w:rPr>
      <w:rFonts w:asciiTheme="majorHAnsi" w:eastAsiaTheme="majorEastAsia" w:hAnsiTheme="majorHAnsi" w:cstheme="majorBidi"/>
      <w:color w:val="3D4857" w:themeColor="accent1" w:themeShade="7F"/>
    </w:rPr>
  </w:style>
  <w:style w:type="character" w:styleId="Hyperlink">
    <w:name w:val="Hyperlink"/>
    <w:basedOn w:val="DefaultParagraphFont"/>
    <w:uiPriority w:val="99"/>
    <w:unhideWhenUsed/>
    <w:rsid w:val="007528AA"/>
    <w:rPr>
      <w:color w:val="000000"/>
      <w:u w:val="single"/>
    </w:rPr>
  </w:style>
  <w:style w:type="paragraph" w:styleId="NoSpacing">
    <w:name w:val="No Spacing"/>
    <w:aliases w:val="ICAS | Body Copy"/>
    <w:basedOn w:val="Normal"/>
    <w:link w:val="NoSpacingChar"/>
    <w:uiPriority w:val="1"/>
    <w:qFormat/>
    <w:rsid w:val="00D35792"/>
    <w:rPr>
      <w:rFonts w:ascii="Arial" w:hAnsi="Arial" w:cs="Arial"/>
      <w:color w:val="000000"/>
      <w:sz w:val="20"/>
      <w:szCs w:val="20"/>
    </w:rPr>
  </w:style>
  <w:style w:type="character" w:customStyle="1" w:styleId="NoSpacingChar">
    <w:name w:val="No Spacing Char"/>
    <w:aliases w:val="ICAS | Body Copy Char"/>
    <w:basedOn w:val="DefaultParagraphFont"/>
    <w:link w:val="NoSpacing"/>
    <w:uiPriority w:val="1"/>
    <w:rsid w:val="00D35792"/>
    <w:rPr>
      <w:rFonts w:ascii="Arial" w:hAnsi="Arial" w:cs="Arial"/>
      <w:color w:val="000000"/>
      <w:sz w:val="20"/>
      <w:szCs w:val="20"/>
    </w:rPr>
  </w:style>
  <w:style w:type="paragraph" w:customStyle="1" w:styleId="ICASBody">
    <w:name w:val="ICAS | Body"/>
    <w:basedOn w:val="NoSpacing"/>
    <w:qFormat/>
    <w:rsid w:val="00D35792"/>
    <w:pPr>
      <w:spacing w:after="240"/>
    </w:pPr>
  </w:style>
  <w:style w:type="paragraph" w:customStyle="1" w:styleId="ICASBoxOutBody">
    <w:name w:val="ICAS | Box Out Body"/>
    <w:basedOn w:val="Normal"/>
    <w:qFormat/>
    <w:rsid w:val="00D35792"/>
    <w:rPr>
      <w:color w:val="2B3841" w:themeColor="text1"/>
      <w:sz w:val="20"/>
      <w:szCs w:val="20"/>
    </w:rPr>
  </w:style>
  <w:style w:type="paragraph" w:customStyle="1" w:styleId="ICASBoxOutHeading">
    <w:name w:val="ICAS | Box Out Heading"/>
    <w:basedOn w:val="Normal"/>
    <w:qFormat/>
    <w:rsid w:val="00D35792"/>
    <w:rPr>
      <w:b/>
      <w:bCs/>
      <w:color w:val="2B3841" w:themeColor="text1"/>
      <w:sz w:val="20"/>
      <w:szCs w:val="20"/>
    </w:rPr>
  </w:style>
  <w:style w:type="paragraph" w:customStyle="1" w:styleId="ICASBulletssecondlevel">
    <w:name w:val="ICAS | Bullets – second level"/>
    <w:basedOn w:val="Normal"/>
    <w:qFormat/>
    <w:rsid w:val="00D35792"/>
    <w:pPr>
      <w:numPr>
        <w:numId w:val="20"/>
      </w:numPr>
      <w:spacing w:after="86" w:line="276" w:lineRule="auto"/>
      <w:contextualSpacing/>
    </w:pPr>
    <w:rPr>
      <w:rFonts w:ascii="Arial" w:hAnsi="Arial" w:cs="Arial"/>
      <w:color w:val="000000"/>
      <w:sz w:val="20"/>
      <w:szCs w:val="20"/>
    </w:rPr>
  </w:style>
  <w:style w:type="paragraph" w:customStyle="1" w:styleId="ICASCoverHeadingWhite">
    <w:name w:val="ICAS | Cover Heading – White"/>
    <w:basedOn w:val="Normal"/>
    <w:qFormat/>
    <w:rsid w:val="00D35792"/>
    <w:pPr>
      <w:snapToGrid w:val="0"/>
    </w:pPr>
    <w:rPr>
      <w:rFonts w:ascii="Arial" w:hAnsi="Arial" w:cs="Arial"/>
      <w:b/>
      <w:bCs/>
      <w:color w:val="FFFFFF" w:themeColor="background1"/>
      <w:sz w:val="124"/>
      <w:szCs w:val="124"/>
    </w:rPr>
  </w:style>
  <w:style w:type="paragraph" w:customStyle="1" w:styleId="ICASDateBlack">
    <w:name w:val="ICAS | Date – Black"/>
    <w:basedOn w:val="Normal"/>
    <w:qFormat/>
    <w:rsid w:val="00D35792"/>
    <w:pPr>
      <w:spacing w:line="276" w:lineRule="auto"/>
    </w:pPr>
    <w:rPr>
      <w:sz w:val="28"/>
      <w:szCs w:val="28"/>
    </w:rPr>
  </w:style>
  <w:style w:type="paragraph" w:customStyle="1" w:styleId="ICASDateWhite">
    <w:name w:val="ICAS | Date – White"/>
    <w:basedOn w:val="Normal"/>
    <w:qFormat/>
    <w:rsid w:val="00D35792"/>
    <w:pPr>
      <w:spacing w:line="276" w:lineRule="auto"/>
    </w:pPr>
    <w:rPr>
      <w:color w:val="FFFFFF" w:themeColor="background1"/>
      <w:sz w:val="28"/>
      <w:szCs w:val="28"/>
    </w:rPr>
  </w:style>
  <w:style w:type="paragraph" w:customStyle="1" w:styleId="ICASQuote">
    <w:name w:val="ICAS | Quote"/>
    <w:basedOn w:val="Normal"/>
    <w:qFormat/>
    <w:rsid w:val="00D35792"/>
    <w:pPr>
      <w:spacing w:before="128" w:after="255" w:line="276" w:lineRule="auto"/>
      <w:ind w:left="128"/>
    </w:pPr>
    <w:rPr>
      <w:rFonts w:ascii="Arial" w:hAnsi="Arial" w:cs="Arial"/>
      <w:i/>
      <w:iCs/>
      <w:color w:val="2B3841" w:themeColor="text1"/>
      <w:sz w:val="20"/>
      <w:szCs w:val="20"/>
    </w:rPr>
  </w:style>
  <w:style w:type="paragraph" w:customStyle="1" w:styleId="ICASTableContent">
    <w:name w:val="ICAS | Table Content"/>
    <w:basedOn w:val="Normal"/>
    <w:qFormat/>
    <w:rsid w:val="00D35792"/>
    <w:rPr>
      <w:rFonts w:ascii="Arial" w:hAnsi="Arial" w:cs="Arial"/>
      <w:sz w:val="20"/>
      <w:szCs w:val="20"/>
    </w:rPr>
  </w:style>
  <w:style w:type="table" w:customStyle="1" w:styleId="ICASTableHeading">
    <w:name w:val="ICAS | Table Heading"/>
    <w:basedOn w:val="TableNormal"/>
    <w:uiPriority w:val="99"/>
    <w:rsid w:val="007528AA"/>
    <w:tblPr/>
  </w:style>
  <w:style w:type="paragraph" w:customStyle="1" w:styleId="ICASCoverHeadingBlack">
    <w:name w:val="ICAS | Cover Heading – Black"/>
    <w:basedOn w:val="Normal"/>
    <w:qFormat/>
    <w:rsid w:val="00D35792"/>
    <w:pPr>
      <w:snapToGrid w:val="0"/>
    </w:pPr>
    <w:rPr>
      <w:rFonts w:ascii="Arial" w:hAnsi="Arial" w:cs="Arial"/>
      <w:b/>
      <w:bCs/>
      <w:sz w:val="124"/>
      <w:szCs w:val="124"/>
    </w:rPr>
  </w:style>
  <w:style w:type="paragraph" w:customStyle="1" w:styleId="ICASPageNumber">
    <w:name w:val="ICAS | Page Number"/>
    <w:basedOn w:val="Footer"/>
    <w:qFormat/>
    <w:rsid w:val="00D35792"/>
    <w:pPr>
      <w:framePr w:wrap="none" w:vAnchor="text" w:hAnchor="margin" w:xAlign="right" w:y="1"/>
    </w:pPr>
    <w:rPr>
      <w:color w:val="000000"/>
      <w:sz w:val="20"/>
      <w:szCs w:val="20"/>
    </w:rPr>
  </w:style>
  <w:style w:type="paragraph" w:customStyle="1" w:styleId="ICASSubhead1">
    <w:name w:val="ICAS | Subhead 1"/>
    <w:basedOn w:val="Heading2"/>
    <w:qFormat/>
    <w:rsid w:val="00D35792"/>
    <w:pPr>
      <w:spacing w:after="280"/>
    </w:pPr>
  </w:style>
  <w:style w:type="character" w:styleId="PageNumber">
    <w:name w:val="page number"/>
    <w:basedOn w:val="DefaultParagraphFont"/>
    <w:uiPriority w:val="99"/>
    <w:semiHidden/>
    <w:unhideWhenUsed/>
    <w:rsid w:val="007528AA"/>
  </w:style>
  <w:style w:type="table" w:styleId="TableGrid">
    <w:name w:val="Table Grid"/>
    <w:basedOn w:val="TableNormal"/>
    <w:uiPriority w:val="39"/>
    <w:rsid w:val="00752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ICAS | Bullets – first level"/>
    <w:basedOn w:val="Normal"/>
    <w:next w:val="Normal"/>
    <w:link w:val="TitleChar"/>
    <w:uiPriority w:val="10"/>
    <w:qFormat/>
    <w:rsid w:val="00D35792"/>
    <w:pPr>
      <w:numPr>
        <w:numId w:val="19"/>
      </w:numPr>
      <w:contextualSpacing/>
    </w:pPr>
    <w:rPr>
      <w:rFonts w:ascii="Arial" w:hAnsi="Arial" w:cs="Arial"/>
      <w:sz w:val="20"/>
      <w:szCs w:val="20"/>
    </w:rPr>
  </w:style>
  <w:style w:type="character" w:customStyle="1" w:styleId="TitleChar">
    <w:name w:val="Title Char"/>
    <w:aliases w:val="ICAS | Bullets – first level Char"/>
    <w:basedOn w:val="DefaultParagraphFont"/>
    <w:link w:val="Title"/>
    <w:uiPriority w:val="10"/>
    <w:rsid w:val="00D35792"/>
    <w:rPr>
      <w:rFonts w:ascii="Arial" w:hAnsi="Arial" w:cs="Arial"/>
      <w:sz w:val="20"/>
      <w:szCs w:val="20"/>
    </w:rPr>
  </w:style>
  <w:style w:type="character" w:styleId="UnresolvedMention">
    <w:name w:val="Unresolved Mention"/>
    <w:basedOn w:val="DefaultParagraphFont"/>
    <w:uiPriority w:val="99"/>
    <w:semiHidden/>
    <w:unhideWhenUsed/>
    <w:rsid w:val="007528AA"/>
    <w:rPr>
      <w:color w:val="605E5C"/>
      <w:shd w:val="clear" w:color="auto" w:fill="E1DFDD"/>
    </w:rPr>
  </w:style>
  <w:style w:type="character" w:styleId="SubtleEmphasis">
    <w:name w:val="Subtle Emphasis"/>
    <w:basedOn w:val="DefaultParagraphFont"/>
    <w:uiPriority w:val="19"/>
    <w:qFormat/>
    <w:rsid w:val="00EF1533"/>
    <w:rPr>
      <w:i/>
      <w:iCs/>
      <w:color w:val="536C7D" w:themeColor="text1" w:themeTint="BF"/>
    </w:rPr>
  </w:style>
  <w:style w:type="paragraph" w:styleId="Revision">
    <w:name w:val="Revision"/>
    <w:hidden/>
    <w:uiPriority w:val="99"/>
    <w:semiHidden/>
    <w:rsid w:val="00571E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cas.com/regulation-technical-resources/regulation/ethics/icas-code-of-ethics" TargetMode="External"/><Relationship Id="rId18" Type="http://schemas.openxmlformats.org/officeDocument/2006/relationships/hyperlink" Target="https://forms.office.com/pages/responsepage.aspx?id=eIGU2zq47k6OnYF3sU_ZefhEOJtnuotJlvMMjcy2Py5UOVc0UDhOM0dYNVdRMk0yN1JWV0pWTk1WOCQlQCN0PWcu&amp;route=shortur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icas.com/regulation-technical-resources/regulation/authorisations/practising-certificates" TargetMode="External"/><Relationship Id="rId17" Type="http://schemas.openxmlformats.org/officeDocument/2006/relationships/hyperlink" Target="https://icas-com.uksouth01.umbraco.io/media/i1po4ong/ethical-matters-for-consideration-in-relation-to-client-engagement-and-disengagement.docx" TargetMode="External"/><Relationship Id="rId2" Type="http://schemas.openxmlformats.org/officeDocument/2006/relationships/customXml" Target="../customXml/item2.xml"/><Relationship Id="rId16" Type="http://schemas.openxmlformats.org/officeDocument/2006/relationships/hyperlink" Target="https://icas-com.uksouth01.umbraco.io/media/t1ndtyei/documents-and-file-access-rights.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gulatoryauthorisations@icas.com" TargetMode="External"/><Relationship Id="rId5" Type="http://schemas.openxmlformats.org/officeDocument/2006/relationships/styles" Target="styles.xml"/><Relationship Id="rId15" Type="http://schemas.openxmlformats.org/officeDocument/2006/relationships/hyperlink" Target="https://icas-com.uksouth01.umbraco.io/media/pkefjz1r/document-and-file-retention.docx" TargetMode="External"/><Relationship Id="rId10" Type="http://schemas.openxmlformats.org/officeDocument/2006/relationships/hyperlink" Target="https://www.ccab.org.uk/anti-money-laundering-and-counter-terrorist-financing-guidance-for-the-accountancy-sector-2023/"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as-com.uksouth01.umbraco.io/media/rgum1fyl/disengagement-from-client-helpsheet.docx"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ICAS">
  <a:themeElements>
    <a:clrScheme name="ICAS">
      <a:dk1>
        <a:srgbClr val="2B3841"/>
      </a:dk1>
      <a:lt1>
        <a:srgbClr val="FFFFFF"/>
      </a:lt1>
      <a:dk2>
        <a:srgbClr val="4D46D9"/>
      </a:dk2>
      <a:lt2>
        <a:srgbClr val="FFFFFF"/>
      </a:lt2>
      <a:accent1>
        <a:srgbClr val="8393A8"/>
      </a:accent1>
      <a:accent2>
        <a:srgbClr val="22B9D5"/>
      </a:accent2>
      <a:accent3>
        <a:srgbClr val="F88D2A"/>
      </a:accent3>
      <a:accent4>
        <a:srgbClr val="555C64"/>
      </a:accent4>
      <a:accent5>
        <a:srgbClr val="4D46D9"/>
      </a:accent5>
      <a:accent6>
        <a:srgbClr val="4D46D9"/>
      </a:accent6>
      <a:hlink>
        <a:srgbClr val="2B3841"/>
      </a:hlink>
      <a:folHlink>
        <a:srgbClr val="2B384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ICAS_Master" id="{452D8136-E7D2-9E4E-AB4E-031F0DB37ADC}" vid="{35AAC066-4BC9-2948-A53F-DA8E50D9B32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2d05684-39aa-4c0d-8cff-5e0cc80d847a">
      <UserInfo>
        <DisplayName>Kenneth Oliver</DisplayName>
        <AccountId>51</AccountId>
        <AccountType/>
      </UserInfo>
      <UserInfo>
        <DisplayName>Kate Neilson</DisplayName>
        <AccountId>45</AccountId>
        <AccountType/>
      </UserInfo>
    </SharedWithUsers>
    <lcf76f155ced4ddcb4097134ff3c332f xmlns="607b35c9-358c-4a12-8b61-a6ae96df6ef5">
      <Terms xmlns="http://schemas.microsoft.com/office/infopath/2007/PartnerControls"/>
    </lcf76f155ced4ddcb4097134ff3c332f>
    <TaxCatchAll xmlns="52d05684-39aa-4c0d-8cff-5e0cc80d847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58CB58330DE6489439988E1A6A5EBB" ma:contentTypeVersion="19" ma:contentTypeDescription="Create a new document." ma:contentTypeScope="" ma:versionID="98335c020876754c55af1fad547de57d">
  <xsd:schema xmlns:xsd="http://www.w3.org/2001/XMLSchema" xmlns:xs="http://www.w3.org/2001/XMLSchema" xmlns:p="http://schemas.microsoft.com/office/2006/metadata/properties" xmlns:ns2="607b35c9-358c-4a12-8b61-a6ae96df6ef5" xmlns:ns3="52d05684-39aa-4c0d-8cff-5e0cc80d847a" targetNamespace="http://schemas.microsoft.com/office/2006/metadata/properties" ma:root="true" ma:fieldsID="c9e17563c2c0cff5311004e397651bca" ns2:_="" ns3:_="">
    <xsd:import namespace="607b35c9-358c-4a12-8b61-a6ae96df6ef5"/>
    <xsd:import namespace="52d05684-39aa-4c0d-8cff-5e0cc80d84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7b35c9-358c-4a12-8b61-a6ae96df6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b26e4d1-0851-40eb-a194-209cd149f60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2d05684-39aa-4c0d-8cff-5e0cc80d847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5f13671-d92f-47df-bb15-d71d68a1a928}" ma:internalName="TaxCatchAll" ma:showField="CatchAllData" ma:web="52d05684-39aa-4c0d-8cff-5e0cc80d84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C9AA8D-D5B8-403F-AE54-FB405F1E3150}">
  <ds:schemaRefs>
    <ds:schemaRef ds:uri="http://schemas.microsoft.com/office/2006/metadata/properties"/>
    <ds:schemaRef ds:uri="http://schemas.microsoft.com/office/infopath/2007/PartnerControls"/>
    <ds:schemaRef ds:uri="52d05684-39aa-4c0d-8cff-5e0cc80d847a"/>
    <ds:schemaRef ds:uri="607b35c9-358c-4a12-8b61-a6ae96df6ef5"/>
  </ds:schemaRefs>
</ds:datastoreItem>
</file>

<file path=customXml/itemProps2.xml><?xml version="1.0" encoding="utf-8"?>
<ds:datastoreItem xmlns:ds="http://schemas.openxmlformats.org/officeDocument/2006/customXml" ds:itemID="{07C5773E-27F0-4F81-A8F2-76A234DC2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7b35c9-358c-4a12-8b61-a6ae96df6ef5"/>
    <ds:schemaRef ds:uri="52d05684-39aa-4c0d-8cff-5e0cc80d84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153BDE-3A59-4CFD-8DF1-5A400FC34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1416</Words>
  <Characters>8073</Characters>
  <Application>Microsoft Office Word</Application>
  <DocSecurity>0</DocSecurity>
  <Lines>67</Lines>
  <Paragraphs>18</Paragraphs>
  <ScaleCrop>false</ScaleCrop>
  <Company/>
  <LinksUpToDate>false</LinksUpToDate>
  <CharactersWithSpaces>9471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Byrne</dc:creator>
  <cp:keywords/>
  <cp:lastModifiedBy>David Menzies</cp:lastModifiedBy>
  <cp:revision>238</cp:revision>
  <dcterms:created xsi:type="dcterms:W3CDTF">2025-06-10T02:08:00Z</dcterms:created>
  <dcterms:modified xsi:type="dcterms:W3CDTF">2025-07-14T08:14:00Z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2020-07-14T00:00:00Z</vt:filetime>
  </property>
  <property fmtid="{D5CDD505-2E9C-101B-9397-08002B2CF9AE}" pid="3" name="Creator">
    <vt:lpwstr>Microsoft® Word for Office 365</vt:lpwstr>
  </property>
  <property fmtid="{D5CDD505-2E9C-101B-9397-08002B2CF9AE}" pid="4" name="LastSaved">
    <vt:filetime>2020-08-05T00:00:00Z</vt:filetime>
  </property>
  <property fmtid="{D5CDD505-2E9C-101B-9397-08002B2CF9AE}" pid="5" name="ContentTypeId">
    <vt:lpwstr>0x010100B358CB58330DE6489439988E1A6A5EBB</vt:lpwstr>
  </property>
  <property fmtid="{D5CDD505-2E9C-101B-9397-08002B2CF9AE}" pid="6" name="MediaServiceImageTags">
    <vt:lpwstr/>
  </property>
</Properties>
</file>