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B5D1" w14:textId="2103ADCD" w:rsidR="005D6664" w:rsidRDefault="008E539C">
      <w:r w:rsidRPr="00967150">
        <w:rPr>
          <w:noProof/>
          <w:sz w:val="24"/>
          <w:szCs w:val="24"/>
        </w:rPr>
        <w:drawing>
          <wp:anchor distT="0" distB="0" distL="114300" distR="114300" simplePos="0" relativeHeight="251658240" behindDoc="1" locked="0" layoutInCell="1" allowOverlap="1" wp14:anchorId="252F48FF" wp14:editId="2EA280C6">
            <wp:simplePos x="0" y="0"/>
            <wp:positionH relativeFrom="column">
              <wp:posOffset>0</wp:posOffset>
            </wp:positionH>
            <wp:positionV relativeFrom="paragraph">
              <wp:posOffset>0</wp:posOffset>
            </wp:positionV>
            <wp:extent cx="1714500" cy="651510"/>
            <wp:effectExtent l="0" t="0" r="0" b="0"/>
            <wp:wrapNone/>
            <wp:docPr id="2"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651510"/>
                    </a:xfrm>
                    <a:prstGeom prst="rect">
                      <a:avLst/>
                    </a:prstGeom>
                    <a:noFill/>
                  </pic:spPr>
                </pic:pic>
              </a:graphicData>
            </a:graphic>
          </wp:anchor>
        </w:drawing>
      </w:r>
    </w:p>
    <w:p w14:paraId="2454B5E9" w14:textId="0C76A2F5" w:rsidR="008E539C" w:rsidRDefault="008E539C" w:rsidP="00E438E4">
      <w:pPr>
        <w:tabs>
          <w:tab w:val="left" w:pos="2700"/>
          <w:tab w:val="left" w:pos="4460"/>
        </w:tabs>
        <w:rPr>
          <w:b/>
          <w:bCs/>
          <w:color w:val="FF0000"/>
          <w:sz w:val="32"/>
          <w:szCs w:val="32"/>
        </w:rPr>
      </w:pPr>
      <w:r>
        <w:tab/>
      </w:r>
      <w:r w:rsidR="00E438E4">
        <w:tab/>
      </w:r>
      <w:r w:rsidRPr="008E539C">
        <w:rPr>
          <w:b/>
          <w:bCs/>
          <w:color w:val="FF0000"/>
          <w:sz w:val="32"/>
          <w:szCs w:val="32"/>
        </w:rPr>
        <w:t xml:space="preserve">OFFICIAL SENSITIVE </w:t>
      </w:r>
    </w:p>
    <w:p w14:paraId="644CD54A" w14:textId="1A944B26" w:rsidR="00753D4F" w:rsidRDefault="00753D4F" w:rsidP="008E539C">
      <w:pPr>
        <w:tabs>
          <w:tab w:val="left" w:pos="4460"/>
        </w:tabs>
        <w:rPr>
          <w:b/>
          <w:bCs/>
          <w:color w:val="FF0000"/>
          <w:sz w:val="32"/>
          <w:szCs w:val="32"/>
        </w:rPr>
      </w:pPr>
      <w:r w:rsidRPr="00880340">
        <w:rPr>
          <w:b/>
          <w:bCs/>
        </w:rPr>
        <w:t xml:space="preserve">In accordance with </w:t>
      </w:r>
      <w:r w:rsidR="00880340" w:rsidRPr="00880340">
        <w:rPr>
          <w:b/>
          <w:bCs/>
        </w:rPr>
        <w:t>S1110F Companies Act 2006</w:t>
      </w:r>
      <w:r w:rsidR="00880340" w:rsidRPr="00880340">
        <w:rPr>
          <w:b/>
          <w:bCs/>
          <w:sz w:val="32"/>
          <w:szCs w:val="32"/>
        </w:rPr>
        <w:t>.</w:t>
      </w:r>
    </w:p>
    <w:p w14:paraId="7D0D3F23" w14:textId="714AE524" w:rsidR="00753D4F" w:rsidRDefault="00462D8E" w:rsidP="008E539C">
      <w:pPr>
        <w:tabs>
          <w:tab w:val="left" w:pos="4460"/>
        </w:tabs>
        <w:rPr>
          <w:b/>
          <w:bCs/>
          <w:sz w:val="32"/>
          <w:szCs w:val="32"/>
        </w:rPr>
      </w:pPr>
      <w:r w:rsidRPr="00E577A8">
        <w:rPr>
          <w:b/>
          <w:bCs/>
          <w:sz w:val="32"/>
          <w:szCs w:val="32"/>
        </w:rPr>
        <w:t xml:space="preserve">Application by a specified </w:t>
      </w:r>
      <w:r w:rsidR="00EF13F5" w:rsidRPr="00E577A8">
        <w:rPr>
          <w:b/>
          <w:bCs/>
          <w:sz w:val="32"/>
          <w:szCs w:val="32"/>
        </w:rPr>
        <w:t>person</w:t>
      </w:r>
      <w:r w:rsidR="00DA120A" w:rsidRPr="00E577A8">
        <w:rPr>
          <w:b/>
          <w:bCs/>
          <w:sz w:val="32"/>
          <w:szCs w:val="32"/>
        </w:rPr>
        <w:t>*</w:t>
      </w:r>
      <w:r w:rsidR="002B4F8D" w:rsidRPr="00E577A8">
        <w:rPr>
          <w:b/>
          <w:bCs/>
          <w:sz w:val="32"/>
          <w:szCs w:val="32"/>
        </w:rPr>
        <w:t xml:space="preserve"> </w:t>
      </w:r>
      <w:r w:rsidRPr="00E577A8">
        <w:rPr>
          <w:b/>
          <w:bCs/>
          <w:sz w:val="32"/>
          <w:szCs w:val="32"/>
        </w:rPr>
        <w:t xml:space="preserve"> to request disclos</w:t>
      </w:r>
      <w:r w:rsidR="007E065A">
        <w:rPr>
          <w:b/>
          <w:bCs/>
          <w:sz w:val="32"/>
          <w:szCs w:val="32"/>
        </w:rPr>
        <w:t>ur</w:t>
      </w:r>
      <w:r w:rsidRPr="00E577A8">
        <w:rPr>
          <w:b/>
          <w:bCs/>
          <w:sz w:val="32"/>
          <w:szCs w:val="32"/>
        </w:rPr>
        <w:t>e</w:t>
      </w:r>
      <w:r w:rsidR="007E065A">
        <w:rPr>
          <w:b/>
          <w:bCs/>
          <w:sz w:val="32"/>
          <w:szCs w:val="32"/>
        </w:rPr>
        <w:t xml:space="preserve"> of</w:t>
      </w:r>
      <w:r w:rsidR="00BF0B73" w:rsidRPr="00E577A8">
        <w:rPr>
          <w:b/>
          <w:bCs/>
          <w:sz w:val="32"/>
          <w:szCs w:val="32"/>
        </w:rPr>
        <w:t xml:space="preserve"> </w:t>
      </w:r>
      <w:r w:rsidR="004F0D78" w:rsidRPr="00E577A8">
        <w:rPr>
          <w:b/>
          <w:bCs/>
          <w:sz w:val="32"/>
          <w:szCs w:val="32"/>
        </w:rPr>
        <w:t>pro</w:t>
      </w:r>
      <w:r w:rsidR="000C45FA" w:rsidRPr="00E577A8">
        <w:rPr>
          <w:b/>
          <w:bCs/>
          <w:sz w:val="32"/>
          <w:szCs w:val="32"/>
        </w:rPr>
        <w:t>tected information</w:t>
      </w:r>
      <w:r w:rsidR="00E66111">
        <w:rPr>
          <w:b/>
          <w:bCs/>
          <w:sz w:val="32"/>
          <w:szCs w:val="32"/>
        </w:rPr>
        <w:t>.</w:t>
      </w:r>
      <w:r w:rsidR="000C45FA" w:rsidRPr="00E577A8">
        <w:rPr>
          <w:b/>
          <w:bCs/>
          <w:sz w:val="32"/>
          <w:szCs w:val="32"/>
        </w:rPr>
        <w:t xml:space="preserve"> </w:t>
      </w:r>
    </w:p>
    <w:p w14:paraId="1D94EA0E" w14:textId="51D296B5" w:rsidR="00753D4F" w:rsidRPr="006B6043" w:rsidRDefault="006B6043" w:rsidP="006B6043">
      <w:pPr>
        <w:tabs>
          <w:tab w:val="left" w:pos="4460"/>
        </w:tabs>
        <w:rPr>
          <w:b/>
          <w:bCs/>
        </w:rPr>
      </w:pPr>
      <w:r>
        <w:rPr>
          <w:b/>
          <w:bCs/>
        </w:rPr>
        <w:t>*</w:t>
      </w:r>
      <w:r w:rsidR="00DA120A" w:rsidRPr="006B6043">
        <w:rPr>
          <w:b/>
          <w:bCs/>
        </w:rPr>
        <w:t xml:space="preserve">As </w:t>
      </w:r>
      <w:r w:rsidR="00A60B0F" w:rsidRPr="006B6043">
        <w:rPr>
          <w:b/>
          <w:bCs/>
        </w:rPr>
        <w:t>defined</w:t>
      </w:r>
      <w:r w:rsidR="00DA120A" w:rsidRPr="006B6043">
        <w:rPr>
          <w:b/>
          <w:bCs/>
        </w:rPr>
        <w:t xml:space="preserve"> by SI</w:t>
      </w:r>
      <w:r w:rsidR="00A60B0F" w:rsidRPr="006B6043">
        <w:rPr>
          <w:b/>
          <w:bCs/>
        </w:rPr>
        <w:t xml:space="preserve"> 2024 no. 1378 – The information Sharing (</w:t>
      </w:r>
      <w:r w:rsidR="00E138D6">
        <w:rPr>
          <w:b/>
          <w:bCs/>
        </w:rPr>
        <w:t>D</w:t>
      </w:r>
      <w:r w:rsidR="00A60B0F" w:rsidRPr="006B6043">
        <w:rPr>
          <w:b/>
          <w:bCs/>
        </w:rPr>
        <w:t>isclosure by the Registrar</w:t>
      </w:r>
      <w:r w:rsidR="00B60B06">
        <w:rPr>
          <w:b/>
          <w:bCs/>
        </w:rPr>
        <w:t xml:space="preserve">) </w:t>
      </w:r>
      <w:r w:rsidR="00A60B0F" w:rsidRPr="006B6043">
        <w:rPr>
          <w:b/>
          <w:bCs/>
        </w:rPr>
        <w:t>Regulations 2024</w:t>
      </w:r>
      <w:r w:rsidR="00E577A8">
        <w:rPr>
          <w:b/>
          <w:bCs/>
        </w:rPr>
        <w:t>.</w:t>
      </w:r>
      <w:r w:rsidR="00A60B0F" w:rsidRPr="006B6043">
        <w:rPr>
          <w:b/>
          <w:bCs/>
        </w:rPr>
        <w:t xml:space="preserve"> </w:t>
      </w:r>
    </w:p>
    <w:tbl>
      <w:tblPr>
        <w:tblStyle w:val="TableGrid"/>
        <w:tblW w:w="0" w:type="auto"/>
        <w:tblLook w:val="04A0" w:firstRow="1" w:lastRow="0" w:firstColumn="1" w:lastColumn="0" w:noHBand="0" w:noVBand="1"/>
      </w:tblPr>
      <w:tblGrid>
        <w:gridCol w:w="846"/>
        <w:gridCol w:w="9610"/>
      </w:tblGrid>
      <w:tr w:rsidR="00676B08" w14:paraId="754554C8" w14:textId="77777777" w:rsidTr="00676B08">
        <w:tc>
          <w:tcPr>
            <w:tcW w:w="846" w:type="dxa"/>
          </w:tcPr>
          <w:p w14:paraId="10FBFE4E" w14:textId="3C98C888" w:rsidR="00676B08" w:rsidRDefault="00980108" w:rsidP="008E539C">
            <w:pPr>
              <w:tabs>
                <w:tab w:val="left" w:pos="4460"/>
              </w:tabs>
              <w:rPr>
                <w:b/>
                <w:bCs/>
                <w:sz w:val="32"/>
                <w:szCs w:val="32"/>
              </w:rPr>
            </w:pPr>
            <w:r>
              <w:rPr>
                <w:b/>
                <w:bCs/>
                <w:sz w:val="32"/>
                <w:szCs w:val="32"/>
              </w:rPr>
              <w:t>1</w:t>
            </w:r>
          </w:p>
        </w:tc>
        <w:tc>
          <w:tcPr>
            <w:tcW w:w="9610" w:type="dxa"/>
          </w:tcPr>
          <w:p w14:paraId="772AE1C1" w14:textId="5F87CCCA" w:rsidR="00676B08" w:rsidRDefault="00676B08" w:rsidP="00676B08">
            <w:pPr>
              <w:tabs>
                <w:tab w:val="left" w:pos="4460"/>
              </w:tabs>
              <w:rPr>
                <w:b/>
                <w:bCs/>
                <w:sz w:val="32"/>
                <w:szCs w:val="32"/>
              </w:rPr>
            </w:pPr>
            <w:r>
              <w:rPr>
                <w:b/>
                <w:bCs/>
                <w:sz w:val="32"/>
                <w:szCs w:val="32"/>
              </w:rPr>
              <w:t>Name and address of the specified person</w:t>
            </w:r>
            <w:r w:rsidR="00445A8D">
              <w:rPr>
                <w:b/>
                <w:bCs/>
                <w:sz w:val="32"/>
                <w:szCs w:val="32"/>
              </w:rPr>
              <w:t xml:space="preserve"> (</w:t>
            </w:r>
            <w:r w:rsidR="00706E2D">
              <w:rPr>
                <w:b/>
                <w:bCs/>
                <w:sz w:val="32"/>
                <w:szCs w:val="32"/>
              </w:rPr>
              <w:t xml:space="preserve">or person authorised </w:t>
            </w:r>
            <w:r w:rsidR="00826A58">
              <w:rPr>
                <w:b/>
                <w:bCs/>
                <w:sz w:val="32"/>
                <w:szCs w:val="32"/>
              </w:rPr>
              <w:t xml:space="preserve">by </w:t>
            </w:r>
            <w:r w:rsidR="00706E2D">
              <w:rPr>
                <w:b/>
                <w:bCs/>
                <w:sz w:val="32"/>
                <w:szCs w:val="32"/>
              </w:rPr>
              <w:t>the specified person)</w:t>
            </w:r>
          </w:p>
          <w:p w14:paraId="487E6AE6" w14:textId="77777777" w:rsidR="00C0504B" w:rsidRDefault="00C0504B" w:rsidP="00676B08">
            <w:pPr>
              <w:tabs>
                <w:tab w:val="left" w:pos="4460"/>
              </w:tabs>
              <w:rPr>
                <w:b/>
                <w:bCs/>
                <w:sz w:val="32"/>
                <w:szCs w:val="32"/>
              </w:rPr>
            </w:pPr>
          </w:p>
          <w:p w14:paraId="545D37D0" w14:textId="77777777" w:rsidR="00C0504B" w:rsidRDefault="00C0504B" w:rsidP="00676B08">
            <w:pPr>
              <w:tabs>
                <w:tab w:val="left" w:pos="4460"/>
              </w:tabs>
              <w:rPr>
                <w:b/>
                <w:bCs/>
                <w:sz w:val="32"/>
                <w:szCs w:val="32"/>
              </w:rPr>
            </w:pPr>
          </w:p>
          <w:p w14:paraId="1E3557F7" w14:textId="77777777" w:rsidR="00C0504B" w:rsidRDefault="00C0504B" w:rsidP="00676B08">
            <w:pPr>
              <w:tabs>
                <w:tab w:val="left" w:pos="4460"/>
              </w:tabs>
              <w:rPr>
                <w:b/>
                <w:bCs/>
                <w:sz w:val="32"/>
                <w:szCs w:val="32"/>
              </w:rPr>
            </w:pPr>
          </w:p>
          <w:p w14:paraId="642D5617" w14:textId="77777777" w:rsidR="00C0504B" w:rsidRDefault="00C0504B" w:rsidP="00676B08">
            <w:pPr>
              <w:tabs>
                <w:tab w:val="left" w:pos="4460"/>
              </w:tabs>
              <w:rPr>
                <w:b/>
                <w:bCs/>
                <w:sz w:val="32"/>
                <w:szCs w:val="32"/>
              </w:rPr>
            </w:pPr>
          </w:p>
          <w:p w14:paraId="27EDD45A" w14:textId="77777777" w:rsidR="00C0504B" w:rsidRDefault="00C0504B" w:rsidP="00676B08">
            <w:pPr>
              <w:tabs>
                <w:tab w:val="left" w:pos="4460"/>
              </w:tabs>
              <w:rPr>
                <w:b/>
                <w:bCs/>
                <w:sz w:val="32"/>
                <w:szCs w:val="32"/>
              </w:rPr>
            </w:pPr>
          </w:p>
          <w:p w14:paraId="74D06CCE" w14:textId="77777777" w:rsidR="00C0504B" w:rsidRDefault="00C0504B" w:rsidP="00676B08">
            <w:pPr>
              <w:tabs>
                <w:tab w:val="left" w:pos="4460"/>
              </w:tabs>
              <w:rPr>
                <w:b/>
                <w:bCs/>
                <w:sz w:val="32"/>
                <w:szCs w:val="32"/>
              </w:rPr>
            </w:pPr>
          </w:p>
          <w:p w14:paraId="2E57B19B" w14:textId="77777777" w:rsidR="00676B08" w:rsidRDefault="00676B08" w:rsidP="008E539C">
            <w:pPr>
              <w:tabs>
                <w:tab w:val="left" w:pos="4460"/>
              </w:tabs>
              <w:rPr>
                <w:b/>
                <w:bCs/>
                <w:sz w:val="32"/>
                <w:szCs w:val="32"/>
              </w:rPr>
            </w:pPr>
          </w:p>
        </w:tc>
      </w:tr>
    </w:tbl>
    <w:p w14:paraId="62926D9B" w14:textId="77777777" w:rsidR="00607D71" w:rsidRDefault="00607D71" w:rsidP="008E539C">
      <w:pPr>
        <w:tabs>
          <w:tab w:val="left" w:pos="4460"/>
        </w:tabs>
        <w:rPr>
          <w:b/>
          <w:bCs/>
          <w:sz w:val="32"/>
          <w:szCs w:val="32"/>
        </w:rPr>
      </w:pPr>
    </w:p>
    <w:tbl>
      <w:tblPr>
        <w:tblStyle w:val="TableGrid"/>
        <w:tblW w:w="0" w:type="auto"/>
        <w:tblLook w:val="04A0" w:firstRow="1" w:lastRow="0" w:firstColumn="1" w:lastColumn="0" w:noHBand="0" w:noVBand="1"/>
      </w:tblPr>
      <w:tblGrid>
        <w:gridCol w:w="846"/>
        <w:gridCol w:w="9610"/>
      </w:tblGrid>
      <w:tr w:rsidR="00C0504B" w14:paraId="07F10472" w14:textId="77777777" w:rsidTr="00C0504B">
        <w:tc>
          <w:tcPr>
            <w:tcW w:w="846" w:type="dxa"/>
          </w:tcPr>
          <w:p w14:paraId="3F205BD8" w14:textId="7AAA8F06" w:rsidR="00C0504B" w:rsidRDefault="00980108" w:rsidP="008E539C">
            <w:pPr>
              <w:tabs>
                <w:tab w:val="left" w:pos="4460"/>
              </w:tabs>
              <w:rPr>
                <w:b/>
                <w:bCs/>
                <w:sz w:val="32"/>
                <w:szCs w:val="32"/>
              </w:rPr>
            </w:pPr>
            <w:r>
              <w:rPr>
                <w:b/>
                <w:bCs/>
                <w:sz w:val="32"/>
                <w:szCs w:val="32"/>
              </w:rPr>
              <w:t>2</w:t>
            </w:r>
          </w:p>
        </w:tc>
        <w:tc>
          <w:tcPr>
            <w:tcW w:w="9610" w:type="dxa"/>
          </w:tcPr>
          <w:p w14:paraId="2B794B49" w14:textId="43613131" w:rsidR="00453F49" w:rsidRDefault="00C0504B" w:rsidP="00453F49">
            <w:pPr>
              <w:tabs>
                <w:tab w:val="left" w:pos="4460"/>
              </w:tabs>
              <w:rPr>
                <w:b/>
                <w:bCs/>
                <w:sz w:val="32"/>
                <w:szCs w:val="32"/>
              </w:rPr>
            </w:pPr>
            <w:r>
              <w:rPr>
                <w:b/>
                <w:bCs/>
                <w:sz w:val="32"/>
                <w:szCs w:val="32"/>
              </w:rPr>
              <w:t>Details of the specified person’s function</w:t>
            </w:r>
          </w:p>
          <w:p w14:paraId="617DA4CE" w14:textId="5B1AA5EF" w:rsidR="00C0504B" w:rsidRPr="00453F49" w:rsidRDefault="00453F49" w:rsidP="00522F07">
            <w:pPr>
              <w:tabs>
                <w:tab w:val="left" w:pos="4460"/>
              </w:tabs>
              <w:rPr>
                <w:b/>
                <w:bCs/>
                <w:sz w:val="24"/>
                <w:szCs w:val="24"/>
              </w:rPr>
            </w:pPr>
            <w:r w:rsidRPr="00453F49">
              <w:rPr>
                <w:b/>
                <w:bCs/>
                <w:sz w:val="24"/>
                <w:szCs w:val="24"/>
              </w:rPr>
              <w:t>(please tick all that apply)</w:t>
            </w:r>
            <w:r w:rsidR="009F79E9" w:rsidRPr="00453F49">
              <w:rPr>
                <w:b/>
                <w:bCs/>
                <w:sz w:val="24"/>
                <w:szCs w:val="24"/>
              </w:rPr>
              <w:t xml:space="preserve"> </w:t>
            </w:r>
          </w:p>
          <w:p w14:paraId="72F2821D" w14:textId="77777777" w:rsidR="000A35D0" w:rsidRDefault="000A35D0" w:rsidP="00C0504B">
            <w:pPr>
              <w:tabs>
                <w:tab w:val="left" w:pos="4460"/>
              </w:tabs>
              <w:rPr>
                <w:b/>
                <w:bCs/>
                <w:sz w:val="32"/>
                <w:szCs w:val="32"/>
              </w:rPr>
            </w:pPr>
          </w:p>
          <w:p w14:paraId="22B81D4F" w14:textId="5EE98FF0" w:rsidR="00522F07" w:rsidRDefault="004C76F1" w:rsidP="00522F07">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669003121"/>
                <w14:checkbox>
                  <w14:checked w14:val="0"/>
                  <w14:checkedState w14:val="2612" w14:font="MS Gothic"/>
                  <w14:uncheckedState w14:val="2610" w14:font="MS Gothic"/>
                </w14:checkbox>
              </w:sdtPr>
              <w:sdtEndPr/>
              <w:sdtContent>
                <w:r w:rsidR="00643CF3">
                  <w:rPr>
                    <w:rFonts w:ascii="MS Gothic" w:eastAsia="MS Gothic" w:hAnsi="MS Gothic" w:hint="eastAsia"/>
                    <w:b/>
                    <w:bCs/>
                    <w:sz w:val="32"/>
                    <w:szCs w:val="32"/>
                  </w:rPr>
                  <w:t>☐</w:t>
                </w:r>
              </w:sdtContent>
            </w:sdt>
            <w:r w:rsidR="00643CF3">
              <w:rPr>
                <w:rStyle w:val="legds"/>
                <w:rFonts w:ascii="Arial" w:eastAsiaTheme="majorEastAsia" w:hAnsi="Arial" w:cs="Arial"/>
                <w:color w:val="1E1E1E"/>
              </w:rPr>
              <w:t xml:space="preserve"> (a</w:t>
            </w:r>
            <w:r w:rsidR="00522F07">
              <w:rPr>
                <w:rStyle w:val="legds"/>
                <w:rFonts w:ascii="Arial" w:eastAsiaTheme="majorEastAsia" w:hAnsi="Arial" w:cs="Arial"/>
                <w:color w:val="1E1E1E"/>
              </w:rPr>
              <w:t>)</w:t>
            </w:r>
            <w:r w:rsidR="00643CF3">
              <w:rPr>
                <w:rStyle w:val="legds"/>
                <w:rFonts w:ascii="Arial" w:eastAsiaTheme="majorEastAsia" w:hAnsi="Arial" w:cs="Arial"/>
                <w:color w:val="1E1E1E"/>
              </w:rPr>
              <w:t xml:space="preserve"> </w:t>
            </w:r>
            <w:r w:rsidR="00522F07">
              <w:rPr>
                <w:rStyle w:val="legds"/>
                <w:rFonts w:ascii="Arial" w:eastAsiaTheme="majorEastAsia" w:hAnsi="Arial" w:cs="Arial"/>
                <w:color w:val="1E1E1E"/>
              </w:rPr>
              <w:t xml:space="preserve">a person acting as an insolvency practitioner within the meaning of section 388(1)(a) of the 1986 </w:t>
            </w:r>
            <w:proofErr w:type="gramStart"/>
            <w:r w:rsidR="00522F07">
              <w:rPr>
                <w:rStyle w:val="legds"/>
                <w:rFonts w:ascii="Arial" w:eastAsiaTheme="majorEastAsia" w:hAnsi="Arial" w:cs="Arial"/>
                <w:color w:val="1E1E1E"/>
              </w:rPr>
              <w:t>Act(</w:t>
            </w:r>
            <w:proofErr w:type="gramEnd"/>
            <w:r w:rsidR="00522F07" w:rsidRPr="00A96D61">
              <w:rPr>
                <w:rStyle w:val="legds"/>
                <w:rFonts w:ascii="Arial" w:eastAsiaTheme="majorEastAsia" w:hAnsi="Arial" w:cs="Arial"/>
                <w:b/>
                <w:bCs/>
                <w:color w:val="1E1E1E"/>
              </w:rPr>
              <w:t>1</w:t>
            </w:r>
            <w:r w:rsidR="00522F07">
              <w:rPr>
                <w:rStyle w:val="legds"/>
                <w:rFonts w:ascii="Arial" w:eastAsiaTheme="majorEastAsia" w:hAnsi="Arial" w:cs="Arial"/>
                <w:color w:val="1E1E1E"/>
              </w:rPr>
              <w:t>) (meaning of “</w:t>
            </w:r>
            <w:r w:rsidR="00522F07">
              <w:rPr>
                <w:rStyle w:val="legterm"/>
                <w:rFonts w:ascii="Arial" w:eastAsiaTheme="majorEastAsia" w:hAnsi="Arial" w:cs="Arial"/>
                <w:color w:val="1E1E1E"/>
              </w:rPr>
              <w:t>act as insolvency practitioner</w:t>
            </w:r>
            <w:r w:rsidR="00522F07">
              <w:rPr>
                <w:rStyle w:val="legds"/>
                <w:rFonts w:ascii="Arial" w:eastAsiaTheme="majorEastAsia" w:hAnsi="Arial" w:cs="Arial"/>
                <w:color w:val="1E1E1E"/>
              </w:rPr>
              <w:t>”) or of Article 3(1)(a) of the 1989 Order (“act as insolvency practitioner”</w:t>
            </w:r>
            <w:proofErr w:type="gramStart"/>
            <w:r w:rsidR="00522F07">
              <w:rPr>
                <w:rStyle w:val="legds"/>
                <w:rFonts w:ascii="Arial" w:eastAsiaTheme="majorEastAsia" w:hAnsi="Arial" w:cs="Arial"/>
                <w:color w:val="1E1E1E"/>
              </w:rPr>
              <w:t>);</w:t>
            </w:r>
            <w:proofErr w:type="gramEnd"/>
          </w:p>
          <w:p w14:paraId="0C4915F3" w14:textId="5FB892BB" w:rsidR="00522F07" w:rsidRDefault="004C76F1" w:rsidP="00522F07">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466622965"/>
                <w14:checkbox>
                  <w14:checked w14:val="0"/>
                  <w14:checkedState w14:val="2612" w14:font="MS Gothic"/>
                  <w14:uncheckedState w14:val="2610" w14:font="MS Gothic"/>
                </w14:checkbox>
              </w:sdtPr>
              <w:sdtEndPr/>
              <w:sdtContent>
                <w:r w:rsidR="009F79E9">
                  <w:rPr>
                    <w:rFonts w:ascii="MS Gothic" w:eastAsia="MS Gothic" w:hAnsi="MS Gothic" w:hint="eastAsia"/>
                    <w:b/>
                    <w:bCs/>
                    <w:sz w:val="32"/>
                    <w:szCs w:val="32"/>
                  </w:rPr>
                  <w:t>☐</w:t>
                </w:r>
              </w:sdtContent>
            </w:sdt>
            <w:r w:rsidR="009F79E9">
              <w:rPr>
                <w:rStyle w:val="legds"/>
                <w:rFonts w:ascii="Arial" w:eastAsiaTheme="majorEastAsia" w:hAnsi="Arial" w:cs="Arial"/>
                <w:color w:val="1E1E1E"/>
              </w:rPr>
              <w:t xml:space="preserve"> </w:t>
            </w:r>
            <w:r w:rsidR="00522F07">
              <w:rPr>
                <w:rStyle w:val="legds"/>
                <w:rFonts w:ascii="Arial" w:eastAsiaTheme="majorEastAsia" w:hAnsi="Arial" w:cs="Arial"/>
                <w:color w:val="1E1E1E"/>
              </w:rPr>
              <w:t xml:space="preserve">(b)a person acting as an insolvency practitioner within the meaning of section 388(2)(a), (b) or (d) of the 1986 </w:t>
            </w:r>
            <w:proofErr w:type="gramStart"/>
            <w:r w:rsidR="00522F07">
              <w:rPr>
                <w:rStyle w:val="legds"/>
                <w:rFonts w:ascii="Arial" w:eastAsiaTheme="majorEastAsia" w:hAnsi="Arial" w:cs="Arial"/>
                <w:color w:val="1E1E1E"/>
              </w:rPr>
              <w:t>Act(</w:t>
            </w:r>
            <w:proofErr w:type="gramEnd"/>
            <w:r w:rsidR="00522F07" w:rsidRPr="00A96D61">
              <w:rPr>
                <w:rStyle w:val="legds"/>
                <w:rFonts w:ascii="Arial" w:eastAsiaTheme="majorEastAsia" w:hAnsi="Arial" w:cs="Arial"/>
                <w:b/>
                <w:bCs/>
                <w:color w:val="1E1E1E"/>
              </w:rPr>
              <w:t>2</w:t>
            </w:r>
            <w:r w:rsidR="00522F07">
              <w:rPr>
                <w:rStyle w:val="legds"/>
                <w:rFonts w:ascii="Arial" w:eastAsiaTheme="majorEastAsia" w:hAnsi="Arial" w:cs="Arial"/>
                <w:color w:val="1E1E1E"/>
              </w:rPr>
              <w:t xml:space="preserve">) or of Article 3(2)(a) or (d) of the 1989 </w:t>
            </w:r>
            <w:proofErr w:type="gramStart"/>
            <w:r w:rsidR="00522F07">
              <w:rPr>
                <w:rStyle w:val="legds"/>
                <w:rFonts w:ascii="Arial" w:eastAsiaTheme="majorEastAsia" w:hAnsi="Arial" w:cs="Arial"/>
                <w:color w:val="1E1E1E"/>
              </w:rPr>
              <w:t>Order;</w:t>
            </w:r>
            <w:proofErr w:type="gramEnd"/>
          </w:p>
          <w:p w14:paraId="6ADBD23B" w14:textId="20BD5489" w:rsidR="00522F07" w:rsidRDefault="004C76F1" w:rsidP="00522F07">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499786450"/>
                <w14:checkbox>
                  <w14:checked w14:val="0"/>
                  <w14:checkedState w14:val="2612" w14:font="MS Gothic"/>
                  <w14:uncheckedState w14:val="2610" w14:font="MS Gothic"/>
                </w14:checkbox>
              </w:sdtPr>
              <w:sdtEndPr/>
              <w:sdtContent>
                <w:r w:rsidR="00A04847">
                  <w:rPr>
                    <w:rFonts w:ascii="MS Gothic" w:eastAsia="MS Gothic" w:hAnsi="MS Gothic" w:hint="eastAsia"/>
                    <w:b/>
                    <w:bCs/>
                    <w:sz w:val="32"/>
                    <w:szCs w:val="32"/>
                  </w:rPr>
                  <w:t>☐</w:t>
                </w:r>
              </w:sdtContent>
            </w:sdt>
            <w:r w:rsidR="009F79E9">
              <w:rPr>
                <w:rStyle w:val="legds"/>
                <w:rFonts w:ascii="Arial" w:eastAsiaTheme="majorEastAsia" w:hAnsi="Arial" w:cs="Arial"/>
                <w:color w:val="1E1E1E"/>
              </w:rPr>
              <w:t xml:space="preserve"> </w:t>
            </w:r>
            <w:r w:rsidR="00522F07">
              <w:rPr>
                <w:rStyle w:val="legds"/>
                <w:rFonts w:ascii="Arial" w:eastAsiaTheme="majorEastAsia" w:hAnsi="Arial" w:cs="Arial"/>
                <w:color w:val="1E1E1E"/>
              </w:rPr>
              <w:t xml:space="preserve">(c)the official receiver as defined by section 399(1) of the 1986 </w:t>
            </w:r>
            <w:proofErr w:type="gramStart"/>
            <w:r w:rsidR="00522F07">
              <w:rPr>
                <w:rStyle w:val="legds"/>
                <w:rFonts w:ascii="Arial" w:eastAsiaTheme="majorEastAsia" w:hAnsi="Arial" w:cs="Arial"/>
                <w:color w:val="1E1E1E"/>
              </w:rPr>
              <w:t>Act(</w:t>
            </w:r>
            <w:proofErr w:type="gramEnd"/>
            <w:r w:rsidR="00522F07" w:rsidRPr="00A96D61">
              <w:rPr>
                <w:rStyle w:val="legds"/>
                <w:rFonts w:ascii="Arial" w:eastAsiaTheme="majorEastAsia" w:hAnsi="Arial" w:cs="Arial"/>
                <w:b/>
                <w:bCs/>
                <w:color w:val="1E1E1E"/>
              </w:rPr>
              <w:t>3</w:t>
            </w:r>
            <w:r w:rsidR="00522F07">
              <w:rPr>
                <w:rStyle w:val="legds"/>
                <w:rFonts w:ascii="Arial" w:eastAsiaTheme="majorEastAsia" w:hAnsi="Arial" w:cs="Arial"/>
                <w:color w:val="1E1E1E"/>
              </w:rPr>
              <w:t>) and a person appointed in accordance with Article 355(1) of the 1989 Order (appointment, etc., of official receivers</w:t>
            </w:r>
            <w:proofErr w:type="gramStart"/>
            <w:r w:rsidR="00522F07">
              <w:rPr>
                <w:rStyle w:val="legds"/>
                <w:rFonts w:ascii="Arial" w:eastAsiaTheme="majorEastAsia" w:hAnsi="Arial" w:cs="Arial"/>
                <w:color w:val="1E1E1E"/>
              </w:rPr>
              <w:t>);</w:t>
            </w:r>
            <w:proofErr w:type="gramEnd"/>
          </w:p>
          <w:p w14:paraId="0E1D222A" w14:textId="342A957A" w:rsidR="00522F07" w:rsidRDefault="004C76F1" w:rsidP="00522F07">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071587179"/>
                <w14:checkbox>
                  <w14:checked w14:val="0"/>
                  <w14:checkedState w14:val="2612" w14:font="MS Gothic"/>
                  <w14:uncheckedState w14:val="2610" w14:font="MS Gothic"/>
                </w14:checkbox>
              </w:sdtPr>
              <w:sdtEndPr/>
              <w:sdtContent>
                <w:r w:rsidR="009F79E9">
                  <w:rPr>
                    <w:rFonts w:ascii="MS Gothic" w:eastAsia="MS Gothic" w:hAnsi="MS Gothic" w:hint="eastAsia"/>
                    <w:b/>
                    <w:bCs/>
                    <w:sz w:val="32"/>
                    <w:szCs w:val="32"/>
                  </w:rPr>
                  <w:t>☐</w:t>
                </w:r>
              </w:sdtContent>
            </w:sdt>
            <w:r w:rsidR="009F79E9">
              <w:rPr>
                <w:rStyle w:val="legds"/>
                <w:rFonts w:ascii="Arial" w:eastAsiaTheme="majorEastAsia" w:hAnsi="Arial" w:cs="Arial"/>
                <w:color w:val="1E1E1E"/>
              </w:rPr>
              <w:t xml:space="preserve"> </w:t>
            </w:r>
            <w:r w:rsidR="00522F07">
              <w:rPr>
                <w:rStyle w:val="legds"/>
                <w:rFonts w:ascii="Arial" w:eastAsiaTheme="majorEastAsia" w:hAnsi="Arial" w:cs="Arial"/>
                <w:color w:val="1E1E1E"/>
              </w:rPr>
              <w:t>(d)the Accountant in Bankruptcy as defined by section 199(1) of the 2016 Act (Accountant in Bankruptcy</w:t>
            </w:r>
            <w:proofErr w:type="gramStart"/>
            <w:r w:rsidR="00522F07">
              <w:rPr>
                <w:rStyle w:val="legds"/>
                <w:rFonts w:ascii="Arial" w:eastAsiaTheme="majorEastAsia" w:hAnsi="Arial" w:cs="Arial"/>
                <w:color w:val="1E1E1E"/>
              </w:rPr>
              <w:t>);</w:t>
            </w:r>
            <w:proofErr w:type="gramEnd"/>
          </w:p>
          <w:p w14:paraId="0EB45B22" w14:textId="34ECE8CD" w:rsidR="00522F07" w:rsidRDefault="004C76F1" w:rsidP="00522F07">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633242514"/>
                <w14:checkbox>
                  <w14:checked w14:val="0"/>
                  <w14:checkedState w14:val="2612" w14:font="MS Gothic"/>
                  <w14:uncheckedState w14:val="2610" w14:font="MS Gothic"/>
                </w14:checkbox>
              </w:sdtPr>
              <w:sdtEndPr/>
              <w:sdtContent>
                <w:r w:rsidR="009F79E9">
                  <w:rPr>
                    <w:rFonts w:ascii="MS Gothic" w:eastAsia="MS Gothic" w:hAnsi="MS Gothic" w:hint="eastAsia"/>
                    <w:b/>
                    <w:bCs/>
                    <w:sz w:val="32"/>
                    <w:szCs w:val="32"/>
                  </w:rPr>
                  <w:t>☐</w:t>
                </w:r>
              </w:sdtContent>
            </w:sdt>
            <w:r w:rsidR="009F79E9">
              <w:rPr>
                <w:rStyle w:val="legds"/>
                <w:rFonts w:ascii="Arial" w:eastAsiaTheme="majorEastAsia" w:hAnsi="Arial" w:cs="Arial"/>
                <w:color w:val="1E1E1E"/>
              </w:rPr>
              <w:t xml:space="preserve"> </w:t>
            </w:r>
            <w:r w:rsidR="00522F07">
              <w:rPr>
                <w:rStyle w:val="legds"/>
                <w:rFonts w:ascii="Arial" w:eastAsiaTheme="majorEastAsia" w:hAnsi="Arial" w:cs="Arial"/>
                <w:color w:val="1E1E1E"/>
              </w:rPr>
              <w:t xml:space="preserve">(e)a trustee in sequestration within the meaning of the 2016 </w:t>
            </w:r>
            <w:proofErr w:type="gramStart"/>
            <w:r w:rsidR="00522F07">
              <w:rPr>
                <w:rStyle w:val="legds"/>
                <w:rFonts w:ascii="Arial" w:eastAsiaTheme="majorEastAsia" w:hAnsi="Arial" w:cs="Arial"/>
                <w:color w:val="1E1E1E"/>
              </w:rPr>
              <w:t>Act;</w:t>
            </w:r>
            <w:proofErr w:type="gramEnd"/>
          </w:p>
          <w:p w14:paraId="3818F1D5" w14:textId="6F3687DB" w:rsidR="00522F07" w:rsidRDefault="004C76F1" w:rsidP="00522F07">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036322492"/>
                <w14:checkbox>
                  <w14:checked w14:val="0"/>
                  <w14:checkedState w14:val="2612" w14:font="MS Gothic"/>
                  <w14:uncheckedState w14:val="2610" w14:font="MS Gothic"/>
                </w14:checkbox>
              </w:sdtPr>
              <w:sdtEndPr/>
              <w:sdtContent>
                <w:r w:rsidR="009F79E9">
                  <w:rPr>
                    <w:rFonts w:ascii="MS Gothic" w:eastAsia="MS Gothic" w:hAnsi="MS Gothic" w:hint="eastAsia"/>
                    <w:b/>
                    <w:bCs/>
                    <w:sz w:val="32"/>
                    <w:szCs w:val="32"/>
                  </w:rPr>
                  <w:t>☐</w:t>
                </w:r>
              </w:sdtContent>
            </w:sdt>
            <w:r w:rsidR="009F79E9">
              <w:rPr>
                <w:rStyle w:val="legds"/>
                <w:rFonts w:ascii="Arial" w:eastAsiaTheme="majorEastAsia" w:hAnsi="Arial" w:cs="Arial"/>
                <w:color w:val="1E1E1E"/>
              </w:rPr>
              <w:t xml:space="preserve"> </w:t>
            </w:r>
            <w:r w:rsidR="00522F07">
              <w:rPr>
                <w:rStyle w:val="legds"/>
                <w:rFonts w:ascii="Arial" w:eastAsiaTheme="majorEastAsia" w:hAnsi="Arial" w:cs="Arial"/>
                <w:color w:val="1E1E1E"/>
              </w:rPr>
              <w:t>(f)a trustee acting under a protected trust deed as defined by regulation 3 of the Protected Trust Deeds (Scotland) Regulations 2013(</w:t>
            </w:r>
            <w:r w:rsidR="00522F07" w:rsidRPr="00A96D61">
              <w:rPr>
                <w:rStyle w:val="legds"/>
                <w:rFonts w:ascii="Arial" w:eastAsiaTheme="majorEastAsia" w:hAnsi="Arial" w:cs="Arial"/>
                <w:b/>
                <w:bCs/>
                <w:color w:val="1E1E1E"/>
              </w:rPr>
              <w:t>4</w:t>
            </w:r>
            <w:r w:rsidR="00522F07">
              <w:rPr>
                <w:rStyle w:val="legds"/>
                <w:rFonts w:ascii="Arial" w:eastAsiaTheme="majorEastAsia" w:hAnsi="Arial" w:cs="Arial"/>
                <w:color w:val="1E1E1E"/>
              </w:rPr>
              <w:t>) (protected status), and</w:t>
            </w:r>
          </w:p>
          <w:p w14:paraId="57703D6B" w14:textId="143EB75E" w:rsidR="00C0504B" w:rsidRDefault="004C76F1" w:rsidP="00453F49">
            <w:pPr>
              <w:pStyle w:val="legclearfix"/>
              <w:shd w:val="clear" w:color="auto" w:fill="FFFFFF"/>
              <w:spacing w:before="0" w:beforeAutospacing="0" w:after="120" w:afterAutospacing="0" w:line="360" w:lineRule="atLeast"/>
              <w:rPr>
                <w:b/>
                <w:bCs/>
                <w:sz w:val="32"/>
                <w:szCs w:val="32"/>
              </w:rPr>
            </w:pPr>
            <w:sdt>
              <w:sdtPr>
                <w:rPr>
                  <w:b/>
                  <w:bCs/>
                  <w:sz w:val="32"/>
                  <w:szCs w:val="32"/>
                </w:rPr>
                <w:id w:val="-686518762"/>
                <w14:checkbox>
                  <w14:checked w14:val="0"/>
                  <w14:checkedState w14:val="2612" w14:font="MS Gothic"/>
                  <w14:uncheckedState w14:val="2610" w14:font="MS Gothic"/>
                </w14:checkbox>
              </w:sdtPr>
              <w:sdtEndPr/>
              <w:sdtContent>
                <w:r w:rsidR="009F79E9">
                  <w:rPr>
                    <w:rFonts w:ascii="MS Gothic" w:eastAsia="MS Gothic" w:hAnsi="MS Gothic" w:hint="eastAsia"/>
                    <w:b/>
                    <w:bCs/>
                    <w:sz w:val="32"/>
                    <w:szCs w:val="32"/>
                  </w:rPr>
                  <w:t>☐</w:t>
                </w:r>
              </w:sdtContent>
            </w:sdt>
            <w:r w:rsidR="009F79E9">
              <w:rPr>
                <w:rStyle w:val="legds"/>
                <w:rFonts w:ascii="Arial" w:eastAsiaTheme="majorEastAsia" w:hAnsi="Arial" w:cs="Arial"/>
                <w:color w:val="1E1E1E"/>
              </w:rPr>
              <w:t xml:space="preserve"> </w:t>
            </w:r>
            <w:r w:rsidR="00522F07">
              <w:rPr>
                <w:rStyle w:val="legds"/>
                <w:rFonts w:ascii="Arial" w:eastAsiaTheme="majorEastAsia" w:hAnsi="Arial" w:cs="Arial"/>
                <w:color w:val="1E1E1E"/>
              </w:rPr>
              <w:t>(g)a judicial factor as defined by section 1 of the Judicial Factors Act 1849(</w:t>
            </w:r>
            <w:r w:rsidR="00522F07" w:rsidRPr="00A96D61">
              <w:rPr>
                <w:rStyle w:val="legds"/>
                <w:rFonts w:ascii="Arial" w:eastAsiaTheme="majorEastAsia" w:hAnsi="Arial" w:cs="Arial"/>
                <w:b/>
                <w:bCs/>
                <w:color w:val="1E1E1E"/>
              </w:rPr>
              <w:t>5</w:t>
            </w:r>
            <w:r w:rsidR="00522F07">
              <w:rPr>
                <w:rStyle w:val="legds"/>
                <w:rFonts w:ascii="Arial" w:eastAsiaTheme="majorEastAsia" w:hAnsi="Arial" w:cs="Arial"/>
                <w:color w:val="1E1E1E"/>
              </w:rPr>
              <w:t>) (interpretation of terms in this Act).</w:t>
            </w:r>
          </w:p>
        </w:tc>
      </w:tr>
    </w:tbl>
    <w:p w14:paraId="555B14B1" w14:textId="77777777" w:rsidR="00C0504B" w:rsidRDefault="00C0504B" w:rsidP="008E539C">
      <w:pPr>
        <w:tabs>
          <w:tab w:val="left" w:pos="4460"/>
        </w:tabs>
        <w:rPr>
          <w:b/>
          <w:bCs/>
          <w:sz w:val="32"/>
          <w:szCs w:val="32"/>
        </w:rPr>
      </w:pPr>
    </w:p>
    <w:p w14:paraId="33EB3FAF" w14:textId="77777777" w:rsidR="00607D71" w:rsidRDefault="00607D71" w:rsidP="008E539C">
      <w:pPr>
        <w:tabs>
          <w:tab w:val="left" w:pos="4460"/>
        </w:tabs>
        <w:rPr>
          <w:b/>
          <w:bCs/>
          <w:sz w:val="32"/>
          <w:szCs w:val="32"/>
        </w:rPr>
      </w:pPr>
    </w:p>
    <w:tbl>
      <w:tblPr>
        <w:tblStyle w:val="TableGrid"/>
        <w:tblW w:w="0" w:type="auto"/>
        <w:tblLook w:val="04A0" w:firstRow="1" w:lastRow="0" w:firstColumn="1" w:lastColumn="0" w:noHBand="0" w:noVBand="1"/>
      </w:tblPr>
      <w:tblGrid>
        <w:gridCol w:w="846"/>
        <w:gridCol w:w="9610"/>
      </w:tblGrid>
      <w:tr w:rsidR="00703CA1" w:rsidRPr="004D78FF" w14:paraId="6AF4073D" w14:textId="77777777" w:rsidTr="00703CA1">
        <w:tc>
          <w:tcPr>
            <w:tcW w:w="846" w:type="dxa"/>
          </w:tcPr>
          <w:p w14:paraId="13BB0A19" w14:textId="57CDB539" w:rsidR="00703CA1" w:rsidRDefault="008C5B87" w:rsidP="008E539C">
            <w:pPr>
              <w:tabs>
                <w:tab w:val="left" w:pos="4460"/>
              </w:tabs>
              <w:rPr>
                <w:b/>
                <w:bCs/>
                <w:sz w:val="32"/>
                <w:szCs w:val="32"/>
              </w:rPr>
            </w:pPr>
            <w:r>
              <w:rPr>
                <w:b/>
                <w:bCs/>
                <w:sz w:val="32"/>
                <w:szCs w:val="32"/>
              </w:rPr>
              <w:t>3</w:t>
            </w:r>
          </w:p>
        </w:tc>
        <w:tc>
          <w:tcPr>
            <w:tcW w:w="9610" w:type="dxa"/>
          </w:tcPr>
          <w:p w14:paraId="2C28B691" w14:textId="4EC2DEC1" w:rsidR="00703CA1" w:rsidRDefault="00703CA1" w:rsidP="008E539C">
            <w:pPr>
              <w:tabs>
                <w:tab w:val="left" w:pos="4460"/>
              </w:tabs>
              <w:rPr>
                <w:b/>
                <w:bCs/>
                <w:sz w:val="32"/>
                <w:szCs w:val="32"/>
              </w:rPr>
            </w:pPr>
            <w:r>
              <w:rPr>
                <w:b/>
                <w:bCs/>
                <w:sz w:val="32"/>
                <w:szCs w:val="32"/>
              </w:rPr>
              <w:t>Nature of the request</w:t>
            </w:r>
            <w:r w:rsidR="00A04847">
              <w:rPr>
                <w:b/>
                <w:bCs/>
                <w:sz w:val="32"/>
                <w:szCs w:val="32"/>
              </w:rPr>
              <w:t xml:space="preserve"> </w:t>
            </w:r>
          </w:p>
          <w:p w14:paraId="06090438" w14:textId="4AA76350" w:rsidR="00A04847" w:rsidRPr="00A04847" w:rsidRDefault="00A04847" w:rsidP="008E539C">
            <w:pPr>
              <w:tabs>
                <w:tab w:val="left" w:pos="4460"/>
              </w:tabs>
              <w:rPr>
                <w:b/>
                <w:bCs/>
                <w:sz w:val="24"/>
                <w:szCs w:val="24"/>
              </w:rPr>
            </w:pPr>
            <w:r w:rsidRPr="00A04847">
              <w:rPr>
                <w:b/>
                <w:bCs/>
                <w:sz w:val="24"/>
                <w:szCs w:val="24"/>
              </w:rPr>
              <w:t xml:space="preserve">(please tick all that apply) </w:t>
            </w:r>
          </w:p>
          <w:p w14:paraId="410F3576" w14:textId="77777777" w:rsidR="00A04847" w:rsidRDefault="00A04847" w:rsidP="008E539C">
            <w:pPr>
              <w:tabs>
                <w:tab w:val="left" w:pos="4460"/>
              </w:tabs>
              <w:rPr>
                <w:b/>
                <w:bCs/>
                <w:sz w:val="32"/>
                <w:szCs w:val="32"/>
              </w:rPr>
            </w:pPr>
          </w:p>
          <w:p w14:paraId="1CF1C425" w14:textId="61AF923F" w:rsidR="00703CA1" w:rsidRPr="004D78FF" w:rsidRDefault="00A04847" w:rsidP="004D78FF">
            <w:pPr>
              <w:pStyle w:val="ListParagraph"/>
              <w:numPr>
                <w:ilvl w:val="0"/>
                <w:numId w:val="9"/>
              </w:numPr>
              <w:tabs>
                <w:tab w:val="left" w:pos="4460"/>
              </w:tabs>
              <w:rPr>
                <w:rFonts w:ascii="Arial" w:hAnsi="Arial" w:cs="Arial"/>
                <w:color w:val="1E1E1E"/>
                <w:shd w:val="clear" w:color="auto" w:fill="FFFFFF"/>
              </w:rPr>
            </w:pPr>
            <w:r w:rsidRPr="004D78FF">
              <w:rPr>
                <w:rFonts w:ascii="Arial" w:hAnsi="Arial" w:cs="Arial"/>
                <w:color w:val="1E1E1E"/>
                <w:shd w:val="clear" w:color="auto" w:fill="FFFFFF"/>
              </w:rPr>
              <w:t>The registrar may disclose information to a person specified in regulation 3(a) or (c) if the registrar is satisfied that the information is necessary for the purpose of assisting the specified person to make or determine whether to make an application to the court for an order under the following provisions</w:t>
            </w:r>
          </w:p>
          <w:p w14:paraId="30E8BD0F" w14:textId="77777777" w:rsidR="00A04847" w:rsidRDefault="00A04847" w:rsidP="008E539C">
            <w:pPr>
              <w:tabs>
                <w:tab w:val="left" w:pos="4460"/>
              </w:tabs>
              <w:rPr>
                <w:b/>
                <w:bCs/>
                <w:sz w:val="32"/>
                <w:szCs w:val="32"/>
              </w:rPr>
            </w:pPr>
          </w:p>
          <w:p w14:paraId="184DE30A" w14:textId="7C611A62"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972910221"/>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213 of the 1986 Act or Article 177 of the 1989 Order (fraudulent trading</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7F0BC288" w14:textId="4F6BF668"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1846365040"/>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 xml:space="preserve">section 214 of the 1986 Act or Article 178 of the 1989 Order (wrongful trading), including as applied to limited liability partnerships by the Limited Liability Partnerships Regulations </w:t>
            </w:r>
            <w:proofErr w:type="gramStart"/>
            <w:r w:rsidR="00A04847" w:rsidRPr="00A04847">
              <w:rPr>
                <w:rFonts w:ascii="Arial" w:eastAsia="Times New Roman" w:hAnsi="Arial" w:cs="Arial"/>
                <w:color w:val="1E1E1E"/>
                <w:kern w:val="0"/>
                <w:sz w:val="24"/>
                <w:szCs w:val="24"/>
                <w:lang w:eastAsia="en-GB"/>
                <w14:ligatures w14:val="none"/>
              </w:rPr>
              <w:t>2001;</w:t>
            </w:r>
            <w:proofErr w:type="gramEnd"/>
          </w:p>
          <w:p w14:paraId="0132DBB0" w14:textId="6851B6B6"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1100302484"/>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214A of the 1986 Act (adjustment of withdrawals</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1722A138" w14:textId="1BA34642"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2051523665"/>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238 of the 1986 Act (transactions at an undervalue (England and Wales)) or Article 202 of the 1989 Order (transactions at an undervalue</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268F9040" w14:textId="6FA70534"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1949000340"/>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239 of the 1986 Act (preferences (England and Wales)) or Article 203 of the 1989 Order (preferences</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6C9DC159" w14:textId="39E95294"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2074311111"/>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242 of the 1986 Act (gratuitous alienations (Scotland)</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7B0F7092" w14:textId="77F76266"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2061709361"/>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243 of the 1986 Act (unfair preferences (Scotland)</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1A5E9597" w14:textId="7C6DBF06"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275410152"/>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244 of the 1986 Act or Article 206 of the 1989 Order (extortionate credit transactions</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399D81C5" w14:textId="27290DD8"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1852064238"/>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246ZA of the 1986 Act (fraudulent trading: administration</w:t>
            </w:r>
            <w:proofErr w:type="gramStart"/>
            <w:r w:rsidR="00A04847" w:rsidRPr="00A04847">
              <w:rPr>
                <w:rFonts w:ascii="Arial" w:eastAsia="Times New Roman" w:hAnsi="Arial" w:cs="Arial"/>
                <w:color w:val="1E1E1E"/>
                <w:kern w:val="0"/>
                <w:sz w:val="24"/>
                <w:szCs w:val="24"/>
                <w:lang w:eastAsia="en-GB"/>
                <w14:ligatures w14:val="none"/>
              </w:rPr>
              <w:t>);</w:t>
            </w:r>
            <w:proofErr w:type="gramEnd"/>
          </w:p>
          <w:p w14:paraId="6A883A15" w14:textId="5AA2E7C7" w:rsidR="00A04847" w:rsidRPr="00A04847" w:rsidRDefault="004C76F1" w:rsidP="00A04847">
            <w:pPr>
              <w:shd w:val="clear" w:color="auto" w:fill="FFFFFF"/>
              <w:spacing w:after="120" w:line="360" w:lineRule="atLeast"/>
              <w:rPr>
                <w:rFonts w:ascii="Arial" w:eastAsia="Times New Roman" w:hAnsi="Arial" w:cs="Arial"/>
                <w:color w:val="1E1E1E"/>
                <w:kern w:val="0"/>
                <w:sz w:val="24"/>
                <w:szCs w:val="24"/>
                <w:lang w:eastAsia="en-GB"/>
                <w14:ligatures w14:val="none"/>
              </w:rPr>
            </w:pPr>
            <w:sdt>
              <w:sdtPr>
                <w:rPr>
                  <w:b/>
                  <w:bCs/>
                  <w:sz w:val="32"/>
                  <w:szCs w:val="32"/>
                </w:rPr>
                <w:id w:val="210851051"/>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sidRPr="00A04847">
              <w:rPr>
                <w:rFonts w:ascii="Arial" w:eastAsia="Times New Roman" w:hAnsi="Arial" w:cs="Arial"/>
                <w:color w:val="1E1E1E"/>
                <w:kern w:val="0"/>
                <w:sz w:val="24"/>
                <w:szCs w:val="24"/>
                <w:lang w:eastAsia="en-GB"/>
                <w14:ligatures w14:val="none"/>
              </w:rPr>
              <w:t xml:space="preserve"> </w:t>
            </w:r>
            <w:r w:rsidR="00A04847" w:rsidRPr="00A04847">
              <w:rPr>
                <w:rFonts w:ascii="Arial" w:eastAsia="Times New Roman" w:hAnsi="Arial" w:cs="Arial"/>
                <w:color w:val="1E1E1E"/>
                <w:kern w:val="0"/>
                <w:sz w:val="24"/>
                <w:szCs w:val="24"/>
                <w:lang w:eastAsia="en-GB"/>
                <w14:ligatures w14:val="none"/>
              </w:rPr>
              <w:t>section 246ZB of the 1986 Act (wrongful trading: administration).</w:t>
            </w:r>
          </w:p>
          <w:p w14:paraId="6A7583B7" w14:textId="77777777" w:rsidR="00A04847" w:rsidRDefault="00A04847" w:rsidP="008E539C">
            <w:pPr>
              <w:tabs>
                <w:tab w:val="left" w:pos="4460"/>
              </w:tabs>
              <w:rPr>
                <w:b/>
                <w:bCs/>
                <w:sz w:val="32"/>
                <w:szCs w:val="32"/>
              </w:rPr>
            </w:pPr>
          </w:p>
          <w:p w14:paraId="1BF2975F" w14:textId="61B1D034" w:rsidR="00703CA1" w:rsidRDefault="004D78FF" w:rsidP="004D78FF">
            <w:pPr>
              <w:pStyle w:val="ListParagraph"/>
              <w:numPr>
                <w:ilvl w:val="0"/>
                <w:numId w:val="9"/>
              </w:numPr>
              <w:tabs>
                <w:tab w:val="left" w:pos="4460"/>
              </w:tabs>
              <w:rPr>
                <w:rFonts w:ascii="Arial" w:hAnsi="Arial" w:cs="Arial"/>
                <w:color w:val="1E1E1E"/>
                <w:shd w:val="clear" w:color="auto" w:fill="FFFFFF"/>
              </w:rPr>
            </w:pPr>
            <w:r w:rsidRPr="004D78FF">
              <w:rPr>
                <w:rFonts w:ascii="Arial" w:hAnsi="Arial" w:cs="Arial"/>
                <w:color w:val="1E1E1E"/>
                <w:shd w:val="clear" w:color="auto" w:fill="FFFFFF"/>
              </w:rPr>
              <w:t>The registrar may disclose information to a person specified in regulation 3(b) or (c) if the registrar is satisfied that the information is necessary for the purpose of assisting the specified person to make or determine whether to make an application to the court for an order under the following provisions</w:t>
            </w:r>
          </w:p>
          <w:p w14:paraId="580B0595" w14:textId="77777777" w:rsidR="004D78FF" w:rsidRDefault="004D78FF" w:rsidP="004D78FF">
            <w:pPr>
              <w:tabs>
                <w:tab w:val="left" w:pos="4460"/>
              </w:tabs>
              <w:rPr>
                <w:rFonts w:ascii="Arial" w:hAnsi="Arial" w:cs="Arial"/>
                <w:color w:val="1E1E1E"/>
                <w:shd w:val="clear" w:color="auto" w:fill="FFFFFF"/>
              </w:rPr>
            </w:pPr>
          </w:p>
          <w:p w14:paraId="56BDD494" w14:textId="667DD35A" w:rsidR="004D78FF" w:rsidRDefault="004C76F1" w:rsidP="004D78FF">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646705908"/>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Pr>
                <w:rStyle w:val="legds"/>
                <w:rFonts w:ascii="Arial" w:eastAsiaTheme="majorEastAsia" w:hAnsi="Arial" w:cs="Arial"/>
                <w:color w:val="1E1E1E"/>
              </w:rPr>
              <w:t xml:space="preserve"> section 339 of the 1986 Act or Article 312 of the 1989 Order (transactions at an undervalue</w:t>
            </w:r>
            <w:proofErr w:type="gramStart"/>
            <w:r w:rsidR="004D78FF">
              <w:rPr>
                <w:rStyle w:val="legds"/>
                <w:rFonts w:ascii="Arial" w:eastAsiaTheme="majorEastAsia" w:hAnsi="Arial" w:cs="Arial"/>
                <w:color w:val="1E1E1E"/>
              </w:rPr>
              <w:t>);</w:t>
            </w:r>
            <w:proofErr w:type="gramEnd"/>
          </w:p>
          <w:p w14:paraId="4B91168B" w14:textId="42007304" w:rsidR="004D78FF" w:rsidRDefault="004C76F1" w:rsidP="004D78FF">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342887483"/>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Pr>
                <w:rStyle w:val="legds"/>
                <w:rFonts w:ascii="Arial" w:eastAsiaTheme="majorEastAsia" w:hAnsi="Arial" w:cs="Arial"/>
                <w:color w:val="1E1E1E"/>
              </w:rPr>
              <w:t xml:space="preserve"> section 340 of the 1986 Act or Article 313 of the 1989 Order (preferences</w:t>
            </w:r>
            <w:proofErr w:type="gramStart"/>
            <w:r w:rsidR="004D78FF">
              <w:rPr>
                <w:rStyle w:val="legds"/>
                <w:rFonts w:ascii="Arial" w:eastAsiaTheme="majorEastAsia" w:hAnsi="Arial" w:cs="Arial"/>
                <w:color w:val="1E1E1E"/>
              </w:rPr>
              <w:t>);</w:t>
            </w:r>
            <w:proofErr w:type="gramEnd"/>
          </w:p>
          <w:p w14:paraId="181AB81A" w14:textId="5C401A03" w:rsidR="004D78FF" w:rsidRDefault="004C76F1" w:rsidP="004D78FF">
            <w:pPr>
              <w:pStyle w:val="legclearfix"/>
              <w:shd w:val="clear" w:color="auto" w:fill="FFFFFF"/>
              <w:spacing w:before="0" w:beforeAutospacing="0" w:after="120" w:afterAutospacing="0" w:line="360" w:lineRule="atLeast"/>
              <w:rPr>
                <w:rStyle w:val="legds"/>
                <w:rFonts w:ascii="Arial" w:eastAsiaTheme="majorEastAsia" w:hAnsi="Arial" w:cs="Arial"/>
                <w:color w:val="1E1E1E"/>
              </w:rPr>
            </w:pPr>
            <w:sdt>
              <w:sdtPr>
                <w:rPr>
                  <w:b/>
                  <w:bCs/>
                  <w:sz w:val="32"/>
                  <w:szCs w:val="32"/>
                </w:rPr>
                <w:id w:val="-834541356"/>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Pr>
                <w:rStyle w:val="legds"/>
                <w:rFonts w:ascii="Arial" w:eastAsiaTheme="majorEastAsia" w:hAnsi="Arial" w:cs="Arial"/>
                <w:color w:val="1E1E1E"/>
              </w:rPr>
              <w:t xml:space="preserve"> section 343 of the 1986 Act or Article 316 of the 1989 Order (extortionate credit transactions)</w:t>
            </w:r>
          </w:p>
          <w:p w14:paraId="7484DF04" w14:textId="77777777" w:rsidR="004D78FF" w:rsidRDefault="004D78FF" w:rsidP="004D78FF">
            <w:pPr>
              <w:pStyle w:val="legclearfix"/>
              <w:shd w:val="clear" w:color="auto" w:fill="FFFFFF"/>
              <w:spacing w:before="0" w:beforeAutospacing="0" w:after="120" w:afterAutospacing="0" w:line="360" w:lineRule="atLeast"/>
              <w:rPr>
                <w:rStyle w:val="legds"/>
                <w:rFonts w:eastAsiaTheme="majorEastAsia"/>
              </w:rPr>
            </w:pPr>
          </w:p>
          <w:p w14:paraId="65C07905" w14:textId="796D73A8" w:rsidR="004D78FF" w:rsidRPr="004D78FF" w:rsidRDefault="004D78FF" w:rsidP="004D78FF">
            <w:pPr>
              <w:pStyle w:val="legclearfix"/>
              <w:numPr>
                <w:ilvl w:val="0"/>
                <w:numId w:val="9"/>
              </w:numPr>
              <w:shd w:val="clear" w:color="auto" w:fill="FFFFFF"/>
              <w:spacing w:before="0" w:beforeAutospacing="0" w:after="120" w:afterAutospacing="0" w:line="360" w:lineRule="atLeast"/>
              <w:rPr>
                <w:rFonts w:ascii="Arial" w:hAnsi="Arial" w:cs="Arial"/>
                <w:color w:val="1E1E1E"/>
              </w:rPr>
            </w:pPr>
            <w:r>
              <w:rPr>
                <w:rFonts w:ascii="Arial" w:hAnsi="Arial" w:cs="Arial"/>
                <w:color w:val="1E1E1E"/>
                <w:shd w:val="clear" w:color="auto" w:fill="FFFFFF"/>
              </w:rPr>
              <w:lastRenderedPageBreak/>
              <w:t>The registrar may disclose information to a person specified in regulation 3(d), (e), (f) or (g) if the registrar is satisfied that the information is necessary for the purpose of assisting the specified person to bring a challenge or determine whether to bring a challenge to the court under the following provisions of the 2016 Act</w:t>
            </w:r>
          </w:p>
          <w:p w14:paraId="0F46F41B" w14:textId="401B2015" w:rsidR="004D78FF" w:rsidRPr="004D78FF" w:rsidRDefault="004C76F1" w:rsidP="004D78FF">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1828357467"/>
                <w14:checkbox>
                  <w14:checked w14:val="0"/>
                  <w14:checkedState w14:val="2612" w14:font="MS Gothic"/>
                  <w14:uncheckedState w14:val="2610" w14:font="MS Gothic"/>
                </w14:checkbox>
              </w:sdtPr>
              <w:sdtEndPr/>
              <w:sdtContent>
                <w:r w:rsidR="004D78FF" w:rsidRPr="004D78FF">
                  <w:rPr>
                    <w:rFonts w:ascii="MS Gothic" w:eastAsia="MS Gothic" w:hAnsi="MS Gothic" w:hint="eastAsia"/>
                    <w:b/>
                    <w:bCs/>
                    <w:sz w:val="32"/>
                    <w:szCs w:val="32"/>
                  </w:rPr>
                  <w:t>☐</w:t>
                </w:r>
              </w:sdtContent>
            </w:sdt>
            <w:r w:rsidR="004D78FF" w:rsidRPr="004D78FF">
              <w:rPr>
                <w:rStyle w:val="legds"/>
                <w:rFonts w:ascii="Arial" w:eastAsiaTheme="majorEastAsia" w:hAnsi="Arial" w:cs="Arial"/>
                <w:color w:val="1E1E1E"/>
              </w:rPr>
              <w:t xml:space="preserve"> section 98 (gratuitous alienations</w:t>
            </w:r>
            <w:proofErr w:type="gramStart"/>
            <w:r w:rsidR="004D78FF" w:rsidRPr="004D78FF">
              <w:rPr>
                <w:rStyle w:val="legds"/>
                <w:rFonts w:ascii="Arial" w:eastAsiaTheme="majorEastAsia" w:hAnsi="Arial" w:cs="Arial"/>
                <w:color w:val="1E1E1E"/>
              </w:rPr>
              <w:t>);</w:t>
            </w:r>
            <w:proofErr w:type="gramEnd"/>
          </w:p>
          <w:p w14:paraId="300F75DE" w14:textId="0BB0FFE2" w:rsidR="004D78FF" w:rsidRPr="004D78FF" w:rsidRDefault="004C76F1" w:rsidP="004D78FF">
            <w:pPr>
              <w:pStyle w:val="legclearfix"/>
              <w:shd w:val="clear" w:color="auto" w:fill="FFFFFF"/>
              <w:spacing w:before="0" w:beforeAutospacing="0" w:after="120" w:afterAutospacing="0" w:line="360" w:lineRule="atLeast"/>
              <w:rPr>
                <w:rFonts w:ascii="Arial" w:hAnsi="Arial" w:cs="Arial"/>
                <w:color w:val="1E1E1E"/>
              </w:rPr>
            </w:pPr>
            <w:sdt>
              <w:sdtPr>
                <w:rPr>
                  <w:b/>
                  <w:bCs/>
                  <w:sz w:val="32"/>
                  <w:szCs w:val="32"/>
                </w:rPr>
                <w:id w:val="582409245"/>
                <w14:checkbox>
                  <w14:checked w14:val="0"/>
                  <w14:checkedState w14:val="2612" w14:font="MS Gothic"/>
                  <w14:uncheckedState w14:val="2610" w14:font="MS Gothic"/>
                </w14:checkbox>
              </w:sdtPr>
              <w:sdtEndPr/>
              <w:sdtContent>
                <w:r w:rsidR="003B0A5E">
                  <w:rPr>
                    <w:rFonts w:ascii="MS Gothic" w:eastAsia="MS Gothic" w:hAnsi="MS Gothic" w:hint="eastAsia"/>
                    <w:b/>
                    <w:bCs/>
                    <w:sz w:val="32"/>
                    <w:szCs w:val="32"/>
                  </w:rPr>
                  <w:t>☐</w:t>
                </w:r>
              </w:sdtContent>
            </w:sdt>
            <w:r w:rsidR="004D78FF" w:rsidRPr="004D78FF">
              <w:rPr>
                <w:rStyle w:val="legds"/>
                <w:rFonts w:ascii="Arial" w:eastAsiaTheme="majorEastAsia" w:hAnsi="Arial" w:cs="Arial"/>
                <w:color w:val="1E1E1E"/>
              </w:rPr>
              <w:t>section 99 (unfair preferences).</w:t>
            </w:r>
          </w:p>
          <w:p w14:paraId="7771EC0E" w14:textId="44CAF1F6" w:rsidR="004D78FF" w:rsidRPr="004D78FF" w:rsidRDefault="003B0A5E" w:rsidP="004D78FF">
            <w:pPr>
              <w:pStyle w:val="ListParagraph"/>
              <w:numPr>
                <w:ilvl w:val="0"/>
                <w:numId w:val="9"/>
              </w:numPr>
              <w:shd w:val="clear" w:color="auto" w:fill="FFFFFF"/>
              <w:spacing w:after="120" w:line="360" w:lineRule="atLeast"/>
              <w:jc w:val="both"/>
              <w:rPr>
                <w:rFonts w:ascii="Arial" w:eastAsia="Times New Roman" w:hAnsi="Arial" w:cs="Arial"/>
                <w:color w:val="1E1E1E"/>
                <w:kern w:val="0"/>
                <w:sz w:val="24"/>
                <w:szCs w:val="24"/>
                <w:lang w:eastAsia="en-GB"/>
                <w14:ligatures w14:val="none"/>
              </w:rPr>
            </w:pPr>
            <w:r>
              <w:rPr>
                <w:rFonts w:ascii="Arial" w:eastAsia="Times New Roman" w:hAnsi="Arial" w:cs="Arial"/>
                <w:color w:val="1E1E1E"/>
                <w:kern w:val="0"/>
                <w:sz w:val="24"/>
                <w:szCs w:val="24"/>
                <w:lang w:eastAsia="en-GB"/>
                <w14:ligatures w14:val="none"/>
              </w:rPr>
              <w:t xml:space="preserve"> </w:t>
            </w:r>
            <w:sdt>
              <w:sdtPr>
                <w:rPr>
                  <w:b/>
                  <w:bCs/>
                  <w:sz w:val="32"/>
                  <w:szCs w:val="32"/>
                </w:rPr>
                <w:id w:val="-266701615"/>
                <w14:checkbox>
                  <w14:checked w14:val="0"/>
                  <w14:checkedState w14:val="2612" w14:font="MS Gothic"/>
                  <w14:uncheckedState w14:val="2610" w14:font="MS Gothic"/>
                </w14:checkbox>
              </w:sdtPr>
              <w:sdtEndPr/>
              <w:sdtContent>
                <w:r>
                  <w:rPr>
                    <w:rFonts w:ascii="MS Gothic" w:eastAsia="MS Gothic" w:hAnsi="MS Gothic" w:hint="eastAsia"/>
                    <w:b/>
                    <w:bCs/>
                    <w:sz w:val="32"/>
                    <w:szCs w:val="32"/>
                  </w:rPr>
                  <w:t>☐</w:t>
                </w:r>
              </w:sdtContent>
            </w:sdt>
            <w:r w:rsidRPr="004D78FF">
              <w:rPr>
                <w:rFonts w:ascii="Arial" w:eastAsia="Times New Roman" w:hAnsi="Arial" w:cs="Arial"/>
                <w:color w:val="1E1E1E"/>
                <w:kern w:val="0"/>
                <w:sz w:val="24"/>
                <w:szCs w:val="24"/>
                <w:lang w:eastAsia="en-GB"/>
                <w14:ligatures w14:val="none"/>
              </w:rPr>
              <w:t xml:space="preserve"> </w:t>
            </w:r>
            <w:r w:rsidR="004D78FF" w:rsidRPr="004D78FF">
              <w:rPr>
                <w:rFonts w:ascii="Arial" w:eastAsia="Times New Roman" w:hAnsi="Arial" w:cs="Arial"/>
                <w:color w:val="1E1E1E"/>
                <w:kern w:val="0"/>
                <w:sz w:val="24"/>
                <w:szCs w:val="24"/>
                <w:lang w:eastAsia="en-GB"/>
                <w14:ligatures w14:val="none"/>
              </w:rPr>
              <w:t>The registrar may disclose information to a person specified in regulation 3(d) or (e) if the registrar is satisfied that the information is necessary for the purpose of assisting the specified person to make an application or determine whether to make an application to the court for an order under section 209 of the 2016 Act (extortionate credit transactions).</w:t>
            </w:r>
          </w:p>
          <w:p w14:paraId="22732AF8" w14:textId="77777777" w:rsidR="004D78FF" w:rsidRPr="004D78FF" w:rsidRDefault="004D78FF" w:rsidP="004D78FF">
            <w:pPr>
              <w:pStyle w:val="ListParagraph"/>
              <w:shd w:val="clear" w:color="auto" w:fill="FFFFFF"/>
              <w:spacing w:after="120" w:line="360" w:lineRule="atLeast"/>
              <w:jc w:val="both"/>
              <w:rPr>
                <w:rFonts w:ascii="Arial" w:eastAsia="Times New Roman" w:hAnsi="Arial" w:cs="Arial"/>
                <w:color w:val="1E1E1E"/>
                <w:kern w:val="0"/>
                <w:sz w:val="24"/>
                <w:szCs w:val="24"/>
                <w:lang w:eastAsia="en-GB"/>
                <w14:ligatures w14:val="none"/>
              </w:rPr>
            </w:pPr>
          </w:p>
          <w:p w14:paraId="6879DC2E" w14:textId="4561B57F" w:rsidR="004D78FF" w:rsidRDefault="004D78FF" w:rsidP="004D78FF">
            <w:pPr>
              <w:shd w:val="clear" w:color="auto" w:fill="FFFFFF"/>
              <w:spacing w:after="120" w:line="360" w:lineRule="atLeast"/>
              <w:ind w:firstLine="240"/>
              <w:jc w:val="both"/>
              <w:rPr>
                <w:rFonts w:ascii="Arial" w:eastAsia="Times New Roman" w:hAnsi="Arial" w:cs="Arial"/>
                <w:color w:val="1E1E1E"/>
                <w:kern w:val="0"/>
                <w:sz w:val="24"/>
                <w:szCs w:val="24"/>
                <w:lang w:eastAsia="en-GB"/>
                <w14:ligatures w14:val="none"/>
              </w:rPr>
            </w:pPr>
            <w:r>
              <w:rPr>
                <w:rFonts w:ascii="Arial" w:eastAsia="Times New Roman" w:hAnsi="Arial" w:cs="Arial"/>
                <w:color w:val="1E1E1E"/>
                <w:kern w:val="0"/>
                <w:sz w:val="24"/>
                <w:szCs w:val="24"/>
                <w:lang w:eastAsia="en-GB"/>
                <w14:ligatures w14:val="none"/>
              </w:rPr>
              <w:t>5</w:t>
            </w:r>
            <w:r w:rsidRPr="004D78FF">
              <w:rPr>
                <w:rFonts w:ascii="Arial" w:eastAsia="Times New Roman" w:hAnsi="Arial" w:cs="Arial"/>
                <w:color w:val="1E1E1E"/>
                <w:kern w:val="0"/>
                <w:sz w:val="24"/>
                <w:szCs w:val="24"/>
                <w:lang w:eastAsia="en-GB"/>
                <w14:ligatures w14:val="none"/>
              </w:rPr>
              <w:t> </w:t>
            </w:r>
            <w:sdt>
              <w:sdtPr>
                <w:rPr>
                  <w:b/>
                  <w:bCs/>
                  <w:sz w:val="32"/>
                  <w:szCs w:val="32"/>
                </w:rPr>
                <w:id w:val="67618823"/>
                <w14:checkbox>
                  <w14:checked w14:val="0"/>
                  <w14:checkedState w14:val="2612" w14:font="MS Gothic"/>
                  <w14:uncheckedState w14:val="2610" w14:font="MS Gothic"/>
                </w14:checkbox>
              </w:sdtPr>
              <w:sdtEndPr/>
              <w:sdtContent>
                <w:r w:rsidR="003B0A5E">
                  <w:rPr>
                    <w:rFonts w:ascii="MS Gothic" w:eastAsia="MS Gothic" w:hAnsi="MS Gothic" w:hint="eastAsia"/>
                    <w:b/>
                    <w:bCs/>
                    <w:sz w:val="32"/>
                    <w:szCs w:val="32"/>
                  </w:rPr>
                  <w:t>☐</w:t>
                </w:r>
              </w:sdtContent>
            </w:sdt>
            <w:r w:rsidR="003B0A5E">
              <w:rPr>
                <w:rFonts w:ascii="Arial" w:eastAsia="Times New Roman" w:hAnsi="Arial" w:cs="Arial"/>
                <w:color w:val="1E1E1E"/>
                <w:kern w:val="0"/>
                <w:sz w:val="24"/>
                <w:szCs w:val="24"/>
                <w:lang w:eastAsia="en-GB"/>
                <w14:ligatures w14:val="none"/>
              </w:rPr>
              <w:t xml:space="preserve"> </w:t>
            </w:r>
            <w:r w:rsidRPr="004D78FF">
              <w:rPr>
                <w:rFonts w:ascii="Arial" w:eastAsia="Times New Roman" w:hAnsi="Arial" w:cs="Arial"/>
                <w:color w:val="1E1E1E"/>
                <w:kern w:val="0"/>
                <w:sz w:val="24"/>
                <w:szCs w:val="24"/>
                <w:lang w:eastAsia="en-GB"/>
                <w14:ligatures w14:val="none"/>
              </w:rPr>
              <w:t>The registrar may disclose information to the person specified in regulation 3(d) if the registrar is satisfied that the information is necessary for the purpose of assisting the specified person to carry out any function in connection with sequestrations under the 2016 Act.</w:t>
            </w:r>
          </w:p>
          <w:p w14:paraId="3B92557D" w14:textId="77777777" w:rsidR="004D78FF" w:rsidRPr="004D78FF" w:rsidRDefault="004D78FF" w:rsidP="004D78FF">
            <w:pPr>
              <w:shd w:val="clear" w:color="auto" w:fill="FFFFFF"/>
              <w:spacing w:after="120" w:line="360" w:lineRule="atLeast"/>
              <w:ind w:firstLine="240"/>
              <w:jc w:val="both"/>
              <w:rPr>
                <w:rFonts w:ascii="Arial" w:eastAsia="Times New Roman" w:hAnsi="Arial" w:cs="Arial"/>
                <w:color w:val="1E1E1E"/>
                <w:kern w:val="0"/>
                <w:sz w:val="24"/>
                <w:szCs w:val="24"/>
                <w:lang w:eastAsia="en-GB"/>
                <w14:ligatures w14:val="none"/>
              </w:rPr>
            </w:pPr>
          </w:p>
          <w:p w14:paraId="2600BDBC" w14:textId="58AA9C63" w:rsidR="004D78FF" w:rsidRDefault="004D78FF" w:rsidP="004D78FF">
            <w:pPr>
              <w:shd w:val="clear" w:color="auto" w:fill="FFFFFF"/>
              <w:spacing w:after="120" w:line="360" w:lineRule="atLeast"/>
              <w:ind w:firstLine="240"/>
              <w:jc w:val="both"/>
              <w:rPr>
                <w:rFonts w:ascii="Arial" w:eastAsia="Times New Roman" w:hAnsi="Arial" w:cs="Arial"/>
                <w:color w:val="1E1E1E"/>
                <w:kern w:val="0"/>
                <w:sz w:val="24"/>
                <w:szCs w:val="24"/>
                <w:lang w:eastAsia="en-GB"/>
                <w14:ligatures w14:val="none"/>
              </w:rPr>
            </w:pPr>
            <w:r>
              <w:rPr>
                <w:rFonts w:ascii="Arial" w:eastAsia="Times New Roman" w:hAnsi="Arial" w:cs="Arial"/>
                <w:color w:val="1E1E1E"/>
                <w:kern w:val="0"/>
                <w:sz w:val="24"/>
                <w:szCs w:val="24"/>
                <w:lang w:eastAsia="en-GB"/>
                <w14:ligatures w14:val="none"/>
              </w:rPr>
              <w:t>6</w:t>
            </w:r>
            <w:r w:rsidRPr="004D78FF">
              <w:rPr>
                <w:rFonts w:ascii="Arial" w:eastAsia="Times New Roman" w:hAnsi="Arial" w:cs="Arial"/>
                <w:color w:val="1E1E1E"/>
                <w:kern w:val="0"/>
                <w:sz w:val="24"/>
                <w:szCs w:val="24"/>
                <w:lang w:eastAsia="en-GB"/>
                <w14:ligatures w14:val="none"/>
              </w:rPr>
              <w:t> </w:t>
            </w:r>
            <w:sdt>
              <w:sdtPr>
                <w:rPr>
                  <w:b/>
                  <w:bCs/>
                  <w:sz w:val="32"/>
                  <w:szCs w:val="32"/>
                </w:rPr>
                <w:id w:val="-1594313446"/>
                <w14:checkbox>
                  <w14:checked w14:val="0"/>
                  <w14:checkedState w14:val="2612" w14:font="MS Gothic"/>
                  <w14:uncheckedState w14:val="2610" w14:font="MS Gothic"/>
                </w14:checkbox>
              </w:sdtPr>
              <w:sdtEndPr/>
              <w:sdtContent>
                <w:r w:rsidR="003B0A5E">
                  <w:rPr>
                    <w:rFonts w:ascii="MS Gothic" w:eastAsia="MS Gothic" w:hAnsi="MS Gothic" w:hint="eastAsia"/>
                    <w:b/>
                    <w:bCs/>
                    <w:sz w:val="32"/>
                    <w:szCs w:val="32"/>
                  </w:rPr>
                  <w:t>☐</w:t>
                </w:r>
              </w:sdtContent>
            </w:sdt>
            <w:r w:rsidR="003B0A5E" w:rsidRPr="004D78FF">
              <w:rPr>
                <w:rFonts w:ascii="Arial" w:eastAsia="Times New Roman" w:hAnsi="Arial" w:cs="Arial"/>
                <w:color w:val="1E1E1E"/>
                <w:kern w:val="0"/>
                <w:sz w:val="24"/>
                <w:szCs w:val="24"/>
                <w:lang w:eastAsia="en-GB"/>
                <w14:ligatures w14:val="none"/>
              </w:rPr>
              <w:t xml:space="preserve"> </w:t>
            </w:r>
            <w:r w:rsidRPr="004D78FF">
              <w:rPr>
                <w:rFonts w:ascii="Arial" w:eastAsia="Times New Roman" w:hAnsi="Arial" w:cs="Arial"/>
                <w:color w:val="1E1E1E"/>
                <w:kern w:val="0"/>
                <w:sz w:val="24"/>
                <w:szCs w:val="24"/>
                <w:lang w:eastAsia="en-GB"/>
                <w14:ligatures w14:val="none"/>
              </w:rPr>
              <w:t>The registrar may disclose information to a person specified in </w:t>
            </w:r>
            <w:r w:rsidRPr="004D78FF">
              <w:rPr>
                <w:rFonts w:ascii="Arial" w:eastAsia="Times New Roman" w:hAnsi="Arial" w:cs="Arial"/>
                <w:kern w:val="0"/>
                <w:sz w:val="24"/>
                <w:szCs w:val="24"/>
                <w:u w:val="single"/>
                <w:lang w:eastAsia="en-GB"/>
                <w14:ligatures w14:val="none"/>
              </w:rPr>
              <w:t>regulation 3</w:t>
            </w:r>
            <w:r w:rsidRPr="004D78FF">
              <w:rPr>
                <w:rFonts w:ascii="Arial" w:eastAsia="Times New Roman" w:hAnsi="Arial" w:cs="Arial"/>
                <w:kern w:val="0"/>
                <w:sz w:val="24"/>
                <w:szCs w:val="24"/>
                <w:lang w:eastAsia="en-GB"/>
                <w14:ligatures w14:val="none"/>
              </w:rPr>
              <w:t> </w:t>
            </w:r>
            <w:r w:rsidRPr="004D78FF">
              <w:rPr>
                <w:rFonts w:ascii="Arial" w:eastAsia="Times New Roman" w:hAnsi="Arial" w:cs="Arial"/>
                <w:color w:val="1E1E1E"/>
                <w:kern w:val="0"/>
                <w:sz w:val="24"/>
                <w:szCs w:val="24"/>
                <w:lang w:eastAsia="en-GB"/>
                <w14:ligatures w14:val="none"/>
              </w:rPr>
              <w:t>if the registrar is satisfied that the information is necessary for the purpose of assisting a specified person to trace, realise or recover property in collective judicial or administrative proceedings pursuant to a law relating to insolvency in which the assets and affairs of a debtor are subject to control or supervision by a court for the purpose of reorganisation or liquidation.</w:t>
            </w:r>
          </w:p>
          <w:p w14:paraId="5C6AC86A" w14:textId="77777777" w:rsidR="004D78FF" w:rsidRPr="004D78FF" w:rsidRDefault="004D78FF" w:rsidP="004D78FF">
            <w:pPr>
              <w:shd w:val="clear" w:color="auto" w:fill="FFFFFF"/>
              <w:spacing w:after="120" w:line="360" w:lineRule="atLeast"/>
              <w:ind w:firstLine="240"/>
              <w:jc w:val="both"/>
              <w:rPr>
                <w:rFonts w:ascii="Arial" w:eastAsia="Times New Roman" w:hAnsi="Arial" w:cs="Arial"/>
                <w:color w:val="1E1E1E"/>
                <w:kern w:val="0"/>
                <w:sz w:val="24"/>
                <w:szCs w:val="24"/>
                <w:lang w:eastAsia="en-GB"/>
                <w14:ligatures w14:val="none"/>
              </w:rPr>
            </w:pPr>
          </w:p>
          <w:p w14:paraId="14BD7071" w14:textId="77777777" w:rsidR="004D78FF" w:rsidRPr="004D78FF" w:rsidRDefault="004D78FF" w:rsidP="004D78FF">
            <w:pPr>
              <w:pStyle w:val="legclearfix"/>
              <w:shd w:val="clear" w:color="auto" w:fill="FFFFFF"/>
              <w:spacing w:before="0" w:beforeAutospacing="0" w:after="120" w:afterAutospacing="0" w:line="360" w:lineRule="atLeast"/>
              <w:rPr>
                <w:rFonts w:ascii="Arial" w:hAnsi="Arial" w:cs="Arial"/>
                <w:color w:val="1E1E1E"/>
              </w:rPr>
            </w:pPr>
          </w:p>
          <w:p w14:paraId="5B91D99B" w14:textId="77777777" w:rsidR="004D78FF" w:rsidRPr="004D78FF" w:rsidRDefault="004D78FF" w:rsidP="004D78FF">
            <w:pPr>
              <w:tabs>
                <w:tab w:val="left" w:pos="4460"/>
              </w:tabs>
              <w:rPr>
                <w:rFonts w:ascii="Arial" w:hAnsi="Arial" w:cs="Arial"/>
                <w:color w:val="1E1E1E"/>
                <w:shd w:val="clear" w:color="auto" w:fill="FFFFFF"/>
              </w:rPr>
            </w:pPr>
          </w:p>
          <w:p w14:paraId="3EB2CED6" w14:textId="77777777" w:rsidR="004D78FF" w:rsidRPr="004D78FF" w:rsidRDefault="004D78FF" w:rsidP="008E539C">
            <w:pPr>
              <w:tabs>
                <w:tab w:val="left" w:pos="4460"/>
              </w:tabs>
              <w:rPr>
                <w:rFonts w:ascii="Arial" w:hAnsi="Arial" w:cs="Arial"/>
                <w:color w:val="1E1E1E"/>
                <w:shd w:val="clear" w:color="auto" w:fill="FFFFFF"/>
              </w:rPr>
            </w:pPr>
          </w:p>
          <w:p w14:paraId="134C08C1" w14:textId="77777777" w:rsidR="004D78FF" w:rsidRPr="004D78FF" w:rsidRDefault="004D78FF" w:rsidP="008E539C">
            <w:pPr>
              <w:tabs>
                <w:tab w:val="left" w:pos="4460"/>
              </w:tabs>
              <w:rPr>
                <w:b/>
                <w:bCs/>
                <w:sz w:val="32"/>
                <w:szCs w:val="32"/>
              </w:rPr>
            </w:pPr>
          </w:p>
          <w:p w14:paraId="5E6A949D" w14:textId="77777777" w:rsidR="00703CA1" w:rsidRPr="004D78FF" w:rsidRDefault="00703CA1" w:rsidP="008E539C">
            <w:pPr>
              <w:tabs>
                <w:tab w:val="left" w:pos="4460"/>
              </w:tabs>
              <w:rPr>
                <w:b/>
                <w:bCs/>
                <w:sz w:val="32"/>
                <w:szCs w:val="32"/>
              </w:rPr>
            </w:pPr>
          </w:p>
          <w:p w14:paraId="097F1277" w14:textId="19E95167" w:rsidR="00703CA1" w:rsidRPr="004D78FF" w:rsidRDefault="00703CA1" w:rsidP="008E539C">
            <w:pPr>
              <w:tabs>
                <w:tab w:val="left" w:pos="4460"/>
              </w:tabs>
              <w:rPr>
                <w:b/>
                <w:bCs/>
                <w:sz w:val="32"/>
                <w:szCs w:val="32"/>
              </w:rPr>
            </w:pPr>
          </w:p>
        </w:tc>
      </w:tr>
    </w:tbl>
    <w:p w14:paraId="2EF6C289" w14:textId="77777777" w:rsidR="008E539C" w:rsidRPr="004D78FF" w:rsidRDefault="008E539C" w:rsidP="008E539C">
      <w:pPr>
        <w:tabs>
          <w:tab w:val="left" w:pos="4460"/>
        </w:tabs>
        <w:rPr>
          <w:b/>
          <w:bCs/>
          <w:sz w:val="32"/>
          <w:szCs w:val="32"/>
        </w:rPr>
      </w:pPr>
    </w:p>
    <w:tbl>
      <w:tblPr>
        <w:tblStyle w:val="TableGrid"/>
        <w:tblW w:w="0" w:type="auto"/>
        <w:tblLook w:val="04A0" w:firstRow="1" w:lastRow="0" w:firstColumn="1" w:lastColumn="0" w:noHBand="0" w:noVBand="1"/>
      </w:tblPr>
      <w:tblGrid>
        <w:gridCol w:w="846"/>
        <w:gridCol w:w="9610"/>
      </w:tblGrid>
      <w:tr w:rsidR="00ED0D70" w14:paraId="57512BC1" w14:textId="77777777" w:rsidTr="00ED0D70">
        <w:tc>
          <w:tcPr>
            <w:tcW w:w="846" w:type="dxa"/>
          </w:tcPr>
          <w:p w14:paraId="52D444F6" w14:textId="7BFF79B4" w:rsidR="00ED0D70" w:rsidRDefault="008C5B87" w:rsidP="008E539C">
            <w:pPr>
              <w:tabs>
                <w:tab w:val="left" w:pos="4460"/>
              </w:tabs>
              <w:rPr>
                <w:b/>
                <w:bCs/>
                <w:sz w:val="32"/>
                <w:szCs w:val="32"/>
              </w:rPr>
            </w:pPr>
            <w:r>
              <w:rPr>
                <w:b/>
                <w:bCs/>
                <w:sz w:val="32"/>
                <w:szCs w:val="32"/>
              </w:rPr>
              <w:t>4</w:t>
            </w:r>
          </w:p>
        </w:tc>
        <w:tc>
          <w:tcPr>
            <w:tcW w:w="9610" w:type="dxa"/>
          </w:tcPr>
          <w:p w14:paraId="38D94492" w14:textId="77777777" w:rsidR="00ED0D70" w:rsidRDefault="006A16DF" w:rsidP="008E539C">
            <w:pPr>
              <w:tabs>
                <w:tab w:val="left" w:pos="4460"/>
              </w:tabs>
              <w:rPr>
                <w:b/>
                <w:bCs/>
                <w:sz w:val="32"/>
                <w:szCs w:val="32"/>
              </w:rPr>
            </w:pPr>
            <w:r>
              <w:rPr>
                <w:b/>
                <w:bCs/>
                <w:sz w:val="32"/>
                <w:szCs w:val="32"/>
              </w:rPr>
              <w:t>Company name and company number</w:t>
            </w:r>
          </w:p>
          <w:p w14:paraId="64D65809" w14:textId="6BA07450" w:rsidR="006A16DF" w:rsidRDefault="00D649CB" w:rsidP="005E5386">
            <w:pPr>
              <w:tabs>
                <w:tab w:val="left" w:pos="4460"/>
              </w:tabs>
              <w:rPr>
                <w:b/>
                <w:bCs/>
                <w:sz w:val="32"/>
                <w:szCs w:val="32"/>
              </w:rPr>
            </w:pPr>
            <w:r>
              <w:rPr>
                <w:sz w:val="24"/>
                <w:szCs w:val="24"/>
              </w:rPr>
              <w:t xml:space="preserve">(Company must be </w:t>
            </w:r>
            <w:r w:rsidR="00A23BBD">
              <w:rPr>
                <w:sz w:val="24"/>
                <w:szCs w:val="24"/>
              </w:rPr>
              <w:t>subject to</w:t>
            </w:r>
            <w:r>
              <w:rPr>
                <w:sz w:val="24"/>
                <w:szCs w:val="24"/>
              </w:rPr>
              <w:t xml:space="preserve"> insolvency proceedings before protected data will be released)</w:t>
            </w:r>
          </w:p>
          <w:p w14:paraId="2308208F" w14:textId="77777777" w:rsidR="006A16DF" w:rsidRDefault="006A16DF" w:rsidP="008E539C">
            <w:pPr>
              <w:tabs>
                <w:tab w:val="left" w:pos="4460"/>
              </w:tabs>
              <w:rPr>
                <w:b/>
                <w:bCs/>
                <w:sz w:val="32"/>
                <w:szCs w:val="32"/>
              </w:rPr>
            </w:pPr>
          </w:p>
          <w:p w14:paraId="34666583" w14:textId="5F18110B" w:rsidR="006A16DF" w:rsidRDefault="006A16DF" w:rsidP="008E539C">
            <w:pPr>
              <w:tabs>
                <w:tab w:val="left" w:pos="4460"/>
              </w:tabs>
              <w:rPr>
                <w:b/>
                <w:bCs/>
                <w:sz w:val="32"/>
                <w:szCs w:val="32"/>
              </w:rPr>
            </w:pPr>
          </w:p>
        </w:tc>
      </w:tr>
    </w:tbl>
    <w:p w14:paraId="7BB2EDA3" w14:textId="77777777" w:rsidR="00ED0D70" w:rsidRDefault="00ED0D70" w:rsidP="008E539C">
      <w:pPr>
        <w:tabs>
          <w:tab w:val="left" w:pos="4460"/>
        </w:tabs>
        <w:rPr>
          <w:b/>
          <w:bCs/>
          <w:sz w:val="32"/>
          <w:szCs w:val="32"/>
        </w:rPr>
      </w:pPr>
    </w:p>
    <w:tbl>
      <w:tblPr>
        <w:tblStyle w:val="TableGrid"/>
        <w:tblW w:w="0" w:type="auto"/>
        <w:tblLook w:val="04A0" w:firstRow="1" w:lastRow="0" w:firstColumn="1" w:lastColumn="0" w:noHBand="0" w:noVBand="1"/>
      </w:tblPr>
      <w:tblGrid>
        <w:gridCol w:w="846"/>
        <w:gridCol w:w="9610"/>
      </w:tblGrid>
      <w:tr w:rsidR="00001106" w14:paraId="729C6FB1" w14:textId="77777777" w:rsidTr="4770927C">
        <w:tc>
          <w:tcPr>
            <w:tcW w:w="846" w:type="dxa"/>
          </w:tcPr>
          <w:p w14:paraId="7877A8C0" w14:textId="27E01FA7" w:rsidR="00001106" w:rsidRDefault="008C5B87" w:rsidP="008E539C">
            <w:pPr>
              <w:tabs>
                <w:tab w:val="left" w:pos="4460"/>
              </w:tabs>
              <w:rPr>
                <w:b/>
                <w:bCs/>
                <w:sz w:val="32"/>
                <w:szCs w:val="32"/>
              </w:rPr>
            </w:pPr>
            <w:r>
              <w:rPr>
                <w:b/>
                <w:bCs/>
                <w:sz w:val="32"/>
                <w:szCs w:val="32"/>
              </w:rPr>
              <w:lastRenderedPageBreak/>
              <w:t>5</w:t>
            </w:r>
          </w:p>
        </w:tc>
        <w:tc>
          <w:tcPr>
            <w:tcW w:w="9610" w:type="dxa"/>
          </w:tcPr>
          <w:p w14:paraId="1182547C" w14:textId="043074B6" w:rsidR="00044D1A" w:rsidRDefault="000A35D0" w:rsidP="00044D1A">
            <w:pPr>
              <w:tabs>
                <w:tab w:val="left" w:pos="4460"/>
              </w:tabs>
              <w:rPr>
                <w:b/>
                <w:bCs/>
                <w:color w:val="FF0000"/>
                <w:sz w:val="32"/>
                <w:szCs w:val="32"/>
              </w:rPr>
            </w:pPr>
            <w:r w:rsidRPr="4770927C">
              <w:rPr>
                <w:b/>
                <w:bCs/>
                <w:sz w:val="32"/>
                <w:szCs w:val="32"/>
              </w:rPr>
              <w:t>Information required</w:t>
            </w:r>
            <w:r w:rsidRPr="4770927C">
              <w:rPr>
                <w:b/>
                <w:bCs/>
                <w:color w:val="FF0000"/>
                <w:sz w:val="32"/>
                <w:szCs w:val="32"/>
              </w:rPr>
              <w:t xml:space="preserve"> </w:t>
            </w:r>
          </w:p>
          <w:p w14:paraId="352ADCC5" w14:textId="63DA3B2A" w:rsidR="00CE3E0D" w:rsidRDefault="00CE3E0D" w:rsidP="00044D1A">
            <w:pPr>
              <w:tabs>
                <w:tab w:val="left" w:pos="4460"/>
              </w:tabs>
              <w:rPr>
                <w:b/>
                <w:bCs/>
                <w:color w:val="FF0000"/>
                <w:sz w:val="32"/>
                <w:szCs w:val="32"/>
              </w:rPr>
            </w:pPr>
          </w:p>
          <w:p w14:paraId="5494F048" w14:textId="7BFC6E3F" w:rsidR="00044D1A" w:rsidRPr="003A1BC8" w:rsidRDefault="004C76F1" w:rsidP="00044D1A">
            <w:pPr>
              <w:tabs>
                <w:tab w:val="left" w:pos="4460"/>
              </w:tabs>
              <w:rPr>
                <w:b/>
                <w:bCs/>
                <w:sz w:val="28"/>
                <w:szCs w:val="28"/>
              </w:rPr>
            </w:pPr>
            <w:sdt>
              <w:sdtPr>
                <w:rPr>
                  <w:b/>
                  <w:bCs/>
                  <w:sz w:val="32"/>
                  <w:szCs w:val="32"/>
                </w:rPr>
                <w:id w:val="1347829337"/>
                <w14:checkbox>
                  <w14:checked w14:val="0"/>
                  <w14:checkedState w14:val="2612" w14:font="MS Gothic"/>
                  <w14:uncheckedState w14:val="2610" w14:font="MS Gothic"/>
                </w14:checkbox>
              </w:sdtPr>
              <w:sdtEndPr/>
              <w:sdtContent>
                <w:r w:rsidR="002E5075">
                  <w:rPr>
                    <w:rFonts w:ascii="MS Gothic" w:eastAsia="MS Gothic" w:hAnsi="MS Gothic" w:hint="eastAsia"/>
                    <w:b/>
                    <w:bCs/>
                    <w:sz w:val="32"/>
                    <w:szCs w:val="32"/>
                  </w:rPr>
                  <w:t>☐</w:t>
                </w:r>
              </w:sdtContent>
            </w:sdt>
            <w:r w:rsidR="00C94D41" w:rsidRPr="003A1BC8">
              <w:rPr>
                <w:b/>
                <w:bCs/>
                <w:sz w:val="28"/>
                <w:szCs w:val="28"/>
              </w:rPr>
              <w:t xml:space="preserve"> </w:t>
            </w:r>
            <w:r w:rsidR="00044D1A" w:rsidRPr="003A1BC8">
              <w:rPr>
                <w:b/>
                <w:bCs/>
                <w:sz w:val="28"/>
                <w:szCs w:val="28"/>
              </w:rPr>
              <w:t>Director home address</w:t>
            </w:r>
          </w:p>
          <w:p w14:paraId="06C17E22" w14:textId="26B9FEE1" w:rsidR="00044D1A" w:rsidRPr="003A1BC8" w:rsidRDefault="004C76F1" w:rsidP="00044D1A">
            <w:pPr>
              <w:tabs>
                <w:tab w:val="left" w:pos="4460"/>
              </w:tabs>
              <w:rPr>
                <w:b/>
                <w:bCs/>
                <w:sz w:val="28"/>
                <w:szCs w:val="28"/>
              </w:rPr>
            </w:pPr>
            <w:sdt>
              <w:sdtPr>
                <w:rPr>
                  <w:b/>
                  <w:bCs/>
                  <w:sz w:val="32"/>
                  <w:szCs w:val="32"/>
                </w:rPr>
                <w:id w:val="1507402428"/>
                <w14:checkbox>
                  <w14:checked w14:val="0"/>
                  <w14:checkedState w14:val="2612" w14:font="MS Gothic"/>
                  <w14:uncheckedState w14:val="2610" w14:font="MS Gothic"/>
                </w14:checkbox>
              </w:sdtPr>
              <w:sdtEndPr/>
              <w:sdtContent>
                <w:r w:rsidR="00C94D41">
                  <w:rPr>
                    <w:rFonts w:ascii="MS Gothic" w:eastAsia="MS Gothic" w:hAnsi="MS Gothic" w:hint="eastAsia"/>
                    <w:b/>
                    <w:bCs/>
                    <w:sz w:val="32"/>
                    <w:szCs w:val="32"/>
                  </w:rPr>
                  <w:t>☐</w:t>
                </w:r>
              </w:sdtContent>
            </w:sdt>
            <w:r w:rsidR="00C94D41" w:rsidRPr="003A1BC8">
              <w:rPr>
                <w:b/>
                <w:bCs/>
                <w:sz w:val="28"/>
                <w:szCs w:val="28"/>
              </w:rPr>
              <w:t xml:space="preserve"> </w:t>
            </w:r>
            <w:r w:rsidR="00044D1A" w:rsidRPr="003A1BC8">
              <w:rPr>
                <w:b/>
                <w:bCs/>
                <w:sz w:val="28"/>
                <w:szCs w:val="28"/>
              </w:rPr>
              <w:t>Director date of birth</w:t>
            </w:r>
          </w:p>
          <w:p w14:paraId="5269DEC7" w14:textId="0692499D" w:rsidR="00CE3E0D" w:rsidRDefault="004C76F1" w:rsidP="00DE73C1">
            <w:pPr>
              <w:tabs>
                <w:tab w:val="left" w:pos="4460"/>
              </w:tabs>
              <w:rPr>
                <w:b/>
                <w:bCs/>
                <w:sz w:val="28"/>
                <w:szCs w:val="28"/>
              </w:rPr>
            </w:pPr>
            <w:sdt>
              <w:sdtPr>
                <w:rPr>
                  <w:b/>
                  <w:bCs/>
                  <w:sz w:val="32"/>
                  <w:szCs w:val="32"/>
                </w:rPr>
                <w:id w:val="-1863893666"/>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C94D41" w:rsidRPr="003A1BC8">
              <w:rPr>
                <w:b/>
                <w:bCs/>
                <w:sz w:val="28"/>
                <w:szCs w:val="28"/>
              </w:rPr>
              <w:t xml:space="preserve"> </w:t>
            </w:r>
            <w:r w:rsidR="003A1BC8" w:rsidRPr="003A1BC8">
              <w:rPr>
                <w:b/>
                <w:bCs/>
                <w:sz w:val="28"/>
                <w:szCs w:val="28"/>
              </w:rPr>
              <w:t xml:space="preserve">Company statutory email </w:t>
            </w:r>
          </w:p>
          <w:p w14:paraId="5A9D4634" w14:textId="23B0202C" w:rsidR="004D78FF" w:rsidRDefault="004C76F1" w:rsidP="00DE73C1">
            <w:pPr>
              <w:tabs>
                <w:tab w:val="left" w:pos="4460"/>
              </w:tabs>
              <w:rPr>
                <w:b/>
                <w:bCs/>
                <w:sz w:val="32"/>
                <w:szCs w:val="32"/>
              </w:rPr>
            </w:pPr>
            <w:sdt>
              <w:sdtPr>
                <w:rPr>
                  <w:b/>
                  <w:bCs/>
                  <w:sz w:val="32"/>
                  <w:szCs w:val="32"/>
                </w:rPr>
                <w:id w:val="-335308831"/>
                <w14:checkbox>
                  <w14:checked w14:val="0"/>
                  <w14:checkedState w14:val="2612" w14:font="MS Gothic"/>
                  <w14:uncheckedState w14:val="2610" w14:font="MS Gothic"/>
                </w14:checkbox>
              </w:sdtPr>
              <w:sdtEndPr/>
              <w:sdtContent>
                <w:r w:rsidR="004D78FF">
                  <w:rPr>
                    <w:rFonts w:ascii="MS Gothic" w:eastAsia="MS Gothic" w:hAnsi="MS Gothic" w:hint="eastAsia"/>
                    <w:b/>
                    <w:bCs/>
                    <w:sz w:val="32"/>
                    <w:szCs w:val="32"/>
                  </w:rPr>
                  <w:t>☐</w:t>
                </w:r>
              </w:sdtContent>
            </w:sdt>
            <w:r w:rsidR="004D78FF">
              <w:rPr>
                <w:b/>
                <w:bCs/>
                <w:sz w:val="32"/>
                <w:szCs w:val="32"/>
              </w:rPr>
              <w:t xml:space="preserve"> Other, please explain</w:t>
            </w:r>
          </w:p>
          <w:p w14:paraId="40140706" w14:textId="77777777" w:rsidR="004D78FF" w:rsidRDefault="004D78FF" w:rsidP="00DE73C1">
            <w:pPr>
              <w:tabs>
                <w:tab w:val="left" w:pos="4460"/>
              </w:tabs>
              <w:rPr>
                <w:b/>
                <w:bCs/>
                <w:sz w:val="32"/>
                <w:szCs w:val="32"/>
              </w:rPr>
            </w:pPr>
          </w:p>
          <w:p w14:paraId="4BB2ED83" w14:textId="77777777" w:rsidR="004D78FF" w:rsidRDefault="004D78FF" w:rsidP="00DE73C1">
            <w:pPr>
              <w:tabs>
                <w:tab w:val="left" w:pos="4460"/>
              </w:tabs>
              <w:rPr>
                <w:b/>
                <w:bCs/>
                <w:sz w:val="32"/>
                <w:szCs w:val="32"/>
              </w:rPr>
            </w:pPr>
          </w:p>
          <w:p w14:paraId="6166E3DE" w14:textId="77777777" w:rsidR="004D78FF" w:rsidRDefault="004D78FF" w:rsidP="00DE73C1">
            <w:pPr>
              <w:tabs>
                <w:tab w:val="left" w:pos="4460"/>
              </w:tabs>
              <w:rPr>
                <w:b/>
                <w:bCs/>
                <w:sz w:val="32"/>
                <w:szCs w:val="32"/>
              </w:rPr>
            </w:pPr>
          </w:p>
          <w:p w14:paraId="6F939DD5" w14:textId="77777777" w:rsidR="004D78FF" w:rsidRDefault="004D78FF" w:rsidP="00DE73C1">
            <w:pPr>
              <w:tabs>
                <w:tab w:val="left" w:pos="4460"/>
              </w:tabs>
              <w:rPr>
                <w:b/>
                <w:bCs/>
                <w:sz w:val="32"/>
                <w:szCs w:val="32"/>
              </w:rPr>
            </w:pPr>
          </w:p>
          <w:p w14:paraId="020C5C88" w14:textId="77777777" w:rsidR="004D78FF" w:rsidRDefault="004D78FF" w:rsidP="00DE73C1">
            <w:pPr>
              <w:tabs>
                <w:tab w:val="left" w:pos="4460"/>
              </w:tabs>
              <w:rPr>
                <w:b/>
                <w:bCs/>
                <w:sz w:val="32"/>
                <w:szCs w:val="32"/>
              </w:rPr>
            </w:pPr>
          </w:p>
          <w:p w14:paraId="2191D4C6" w14:textId="3B364DE9" w:rsidR="00CE3E0D" w:rsidRDefault="00CE3E0D" w:rsidP="008E539C">
            <w:pPr>
              <w:tabs>
                <w:tab w:val="left" w:pos="4460"/>
              </w:tabs>
              <w:rPr>
                <w:b/>
                <w:bCs/>
                <w:sz w:val="32"/>
                <w:szCs w:val="32"/>
              </w:rPr>
            </w:pPr>
          </w:p>
        </w:tc>
      </w:tr>
    </w:tbl>
    <w:p w14:paraId="30DD184F" w14:textId="77777777" w:rsidR="008E539C" w:rsidRDefault="008E539C" w:rsidP="008E539C">
      <w:pPr>
        <w:tabs>
          <w:tab w:val="left" w:pos="4460"/>
        </w:tabs>
        <w:rPr>
          <w:b/>
          <w:bCs/>
          <w:sz w:val="32"/>
          <w:szCs w:val="32"/>
        </w:rPr>
      </w:pPr>
    </w:p>
    <w:p w14:paraId="0C96ACDE" w14:textId="77777777" w:rsidR="00FB48F5" w:rsidRDefault="00FB48F5" w:rsidP="008E539C">
      <w:pPr>
        <w:tabs>
          <w:tab w:val="left" w:pos="4460"/>
        </w:tabs>
        <w:rPr>
          <w:b/>
          <w:bCs/>
          <w:sz w:val="32"/>
          <w:szCs w:val="32"/>
        </w:rPr>
      </w:pPr>
    </w:p>
    <w:tbl>
      <w:tblPr>
        <w:tblStyle w:val="TableGrid"/>
        <w:tblW w:w="0" w:type="auto"/>
        <w:tblLook w:val="04A0" w:firstRow="1" w:lastRow="0" w:firstColumn="1" w:lastColumn="0" w:noHBand="0" w:noVBand="1"/>
      </w:tblPr>
      <w:tblGrid>
        <w:gridCol w:w="846"/>
        <w:gridCol w:w="9610"/>
      </w:tblGrid>
      <w:tr w:rsidR="00FB48F5" w14:paraId="1B93FD18" w14:textId="77777777" w:rsidTr="00FB48F5">
        <w:tc>
          <w:tcPr>
            <w:tcW w:w="846" w:type="dxa"/>
          </w:tcPr>
          <w:p w14:paraId="64043BF9" w14:textId="7B82C07A" w:rsidR="00FB48F5" w:rsidRDefault="008C5B87" w:rsidP="008E539C">
            <w:pPr>
              <w:tabs>
                <w:tab w:val="left" w:pos="4460"/>
              </w:tabs>
              <w:rPr>
                <w:b/>
                <w:bCs/>
                <w:sz w:val="32"/>
                <w:szCs w:val="32"/>
              </w:rPr>
            </w:pPr>
            <w:r>
              <w:rPr>
                <w:b/>
                <w:bCs/>
                <w:sz w:val="32"/>
                <w:szCs w:val="32"/>
              </w:rPr>
              <w:t>6</w:t>
            </w:r>
          </w:p>
        </w:tc>
        <w:tc>
          <w:tcPr>
            <w:tcW w:w="9610" w:type="dxa"/>
          </w:tcPr>
          <w:p w14:paraId="7E02FC6B" w14:textId="2AEB9C27" w:rsidR="00FB48F5" w:rsidRDefault="004D78FF" w:rsidP="008E539C">
            <w:pPr>
              <w:tabs>
                <w:tab w:val="left" w:pos="4460"/>
              </w:tabs>
              <w:rPr>
                <w:b/>
                <w:bCs/>
                <w:sz w:val="32"/>
                <w:szCs w:val="32"/>
              </w:rPr>
            </w:pPr>
            <w:r>
              <w:rPr>
                <w:b/>
                <w:bCs/>
                <w:sz w:val="32"/>
                <w:szCs w:val="32"/>
              </w:rPr>
              <w:t>Signature</w:t>
            </w:r>
          </w:p>
          <w:p w14:paraId="7A725E55" w14:textId="77777777" w:rsidR="00B33B86" w:rsidRDefault="00B33B86" w:rsidP="008E539C">
            <w:pPr>
              <w:tabs>
                <w:tab w:val="left" w:pos="4460"/>
              </w:tabs>
              <w:rPr>
                <w:b/>
                <w:bCs/>
                <w:sz w:val="32"/>
                <w:szCs w:val="32"/>
              </w:rPr>
            </w:pPr>
          </w:p>
          <w:p w14:paraId="6B3EF844" w14:textId="77777777" w:rsidR="00B33B86" w:rsidRDefault="00B33B86" w:rsidP="008E539C">
            <w:pPr>
              <w:tabs>
                <w:tab w:val="left" w:pos="4460"/>
              </w:tabs>
              <w:rPr>
                <w:b/>
                <w:bCs/>
                <w:sz w:val="32"/>
                <w:szCs w:val="32"/>
              </w:rPr>
            </w:pPr>
          </w:p>
          <w:p w14:paraId="1BF46D3D" w14:textId="77777777" w:rsidR="00B33B86" w:rsidRDefault="00B33B86" w:rsidP="008E539C">
            <w:pPr>
              <w:tabs>
                <w:tab w:val="left" w:pos="4460"/>
              </w:tabs>
              <w:rPr>
                <w:b/>
                <w:bCs/>
                <w:sz w:val="32"/>
                <w:szCs w:val="32"/>
              </w:rPr>
            </w:pPr>
          </w:p>
          <w:p w14:paraId="117DA0F1" w14:textId="7B8DD5F5" w:rsidR="00B33B86" w:rsidRDefault="00B33B86" w:rsidP="008E539C">
            <w:pPr>
              <w:tabs>
                <w:tab w:val="left" w:pos="4460"/>
              </w:tabs>
              <w:rPr>
                <w:b/>
                <w:bCs/>
                <w:sz w:val="32"/>
                <w:szCs w:val="32"/>
              </w:rPr>
            </w:pPr>
          </w:p>
        </w:tc>
      </w:tr>
    </w:tbl>
    <w:p w14:paraId="417EBA0E" w14:textId="77777777" w:rsidR="00FB48F5" w:rsidRPr="008B7AE2" w:rsidRDefault="00FB48F5" w:rsidP="008E539C">
      <w:pPr>
        <w:tabs>
          <w:tab w:val="left" w:pos="4460"/>
        </w:tabs>
        <w:rPr>
          <w:b/>
          <w:bCs/>
          <w:sz w:val="32"/>
          <w:szCs w:val="32"/>
        </w:rPr>
      </w:pPr>
    </w:p>
    <w:p w14:paraId="42AD4BC9" w14:textId="7D82BDE9" w:rsidR="00961D67" w:rsidRPr="00156941" w:rsidRDefault="00961D67" w:rsidP="008E539C">
      <w:pPr>
        <w:tabs>
          <w:tab w:val="left" w:pos="4460"/>
        </w:tabs>
        <w:rPr>
          <w:b/>
          <w:bCs/>
          <w:sz w:val="24"/>
          <w:szCs w:val="24"/>
        </w:rPr>
      </w:pPr>
      <w:r w:rsidRPr="00156941">
        <w:rPr>
          <w:b/>
          <w:bCs/>
          <w:sz w:val="24"/>
          <w:szCs w:val="24"/>
        </w:rPr>
        <w:t>Notes</w:t>
      </w:r>
    </w:p>
    <w:p w14:paraId="2CA61BD3" w14:textId="1E522E66" w:rsidR="00961D67" w:rsidRDefault="002A03A3" w:rsidP="000D7D60">
      <w:pPr>
        <w:pStyle w:val="ListParagraph"/>
        <w:numPr>
          <w:ilvl w:val="0"/>
          <w:numId w:val="7"/>
        </w:numPr>
        <w:tabs>
          <w:tab w:val="left" w:pos="4460"/>
        </w:tabs>
        <w:rPr>
          <w:sz w:val="24"/>
          <w:szCs w:val="24"/>
        </w:rPr>
      </w:pPr>
      <w:r w:rsidRPr="00256E36">
        <w:rPr>
          <w:sz w:val="24"/>
          <w:szCs w:val="24"/>
        </w:rPr>
        <w:t xml:space="preserve">Application should be emailed to </w:t>
      </w:r>
      <w:r w:rsidR="004E6734" w:rsidRPr="00256E36">
        <w:rPr>
          <w:sz w:val="24"/>
          <w:szCs w:val="24"/>
        </w:rPr>
        <w:t xml:space="preserve">Law Enforcement Liaison </w:t>
      </w:r>
      <w:hyperlink r:id="rId9" w:history="1">
        <w:r w:rsidR="00256E36" w:rsidRPr="008D7521">
          <w:rPr>
            <w:rStyle w:val="Hyperlink"/>
            <w:sz w:val="24"/>
            <w:szCs w:val="24"/>
          </w:rPr>
          <w:t>leliaison@companieshouse.gov.uk</w:t>
        </w:r>
      </w:hyperlink>
    </w:p>
    <w:p w14:paraId="51184386" w14:textId="6D629157" w:rsidR="001F7170" w:rsidRDefault="645DC5FF" w:rsidP="000D7D60">
      <w:pPr>
        <w:pStyle w:val="ListParagraph"/>
        <w:numPr>
          <w:ilvl w:val="0"/>
          <w:numId w:val="7"/>
        </w:numPr>
        <w:tabs>
          <w:tab w:val="left" w:pos="4460"/>
        </w:tabs>
        <w:rPr>
          <w:sz w:val="24"/>
          <w:szCs w:val="24"/>
        </w:rPr>
      </w:pPr>
      <w:r w:rsidRPr="22A0B02C">
        <w:rPr>
          <w:sz w:val="24"/>
          <w:szCs w:val="24"/>
        </w:rPr>
        <w:t xml:space="preserve">The Registrar will only disclose information once satisfied </w:t>
      </w:r>
      <w:r w:rsidR="5C17C96F" w:rsidRPr="22A0B02C">
        <w:rPr>
          <w:sz w:val="24"/>
          <w:szCs w:val="24"/>
        </w:rPr>
        <w:t>the request is proportionate and necessary for assisting the specified person</w:t>
      </w:r>
      <w:r w:rsidR="4F088874" w:rsidRPr="22A0B02C">
        <w:rPr>
          <w:sz w:val="24"/>
          <w:szCs w:val="24"/>
        </w:rPr>
        <w:t xml:space="preserve"> </w:t>
      </w:r>
      <w:r w:rsidR="7B5292DC" w:rsidRPr="22A0B02C">
        <w:rPr>
          <w:sz w:val="24"/>
          <w:szCs w:val="24"/>
        </w:rPr>
        <w:t>in the course of</w:t>
      </w:r>
      <w:r w:rsidR="009B2CF0">
        <w:rPr>
          <w:sz w:val="24"/>
          <w:szCs w:val="24"/>
        </w:rPr>
        <w:t xml:space="preserve"> th</w:t>
      </w:r>
      <w:r w:rsidR="7B5292DC" w:rsidRPr="22A0B02C">
        <w:rPr>
          <w:sz w:val="24"/>
          <w:szCs w:val="24"/>
        </w:rPr>
        <w:t xml:space="preserve">eir duties. </w:t>
      </w:r>
    </w:p>
    <w:p w14:paraId="615B476E" w14:textId="551FD1DE" w:rsidR="000C1716" w:rsidRPr="00256E36" w:rsidRDefault="000C1716" w:rsidP="000D7D60">
      <w:pPr>
        <w:pStyle w:val="ListParagraph"/>
        <w:numPr>
          <w:ilvl w:val="0"/>
          <w:numId w:val="7"/>
        </w:numPr>
        <w:tabs>
          <w:tab w:val="left" w:pos="4460"/>
        </w:tabs>
        <w:rPr>
          <w:sz w:val="24"/>
          <w:szCs w:val="24"/>
        </w:rPr>
      </w:pPr>
      <w:r>
        <w:rPr>
          <w:sz w:val="24"/>
          <w:szCs w:val="24"/>
        </w:rPr>
        <w:t xml:space="preserve">The Registrar will not supply any documents, statutory documents can be freely downloaded from </w:t>
      </w:r>
      <w:hyperlink r:id="rId10" w:history="1">
        <w:r w:rsidR="00415AD3" w:rsidRPr="00850243">
          <w:rPr>
            <w:rStyle w:val="Hyperlink"/>
            <w:sz w:val="24"/>
            <w:szCs w:val="24"/>
          </w:rPr>
          <w:t>https://www.gov.uk/government/organisations/companies-house</w:t>
        </w:r>
      </w:hyperlink>
      <w:r w:rsidR="00415AD3">
        <w:rPr>
          <w:sz w:val="24"/>
          <w:szCs w:val="24"/>
        </w:rPr>
        <w:t xml:space="preserve"> </w:t>
      </w:r>
    </w:p>
    <w:p w14:paraId="1B1CB82E" w14:textId="77777777" w:rsidR="00961D67" w:rsidRDefault="00961D67" w:rsidP="008E539C">
      <w:pPr>
        <w:tabs>
          <w:tab w:val="left" w:pos="4460"/>
        </w:tabs>
        <w:rPr>
          <w:b/>
          <w:bCs/>
          <w:color w:val="FF0000"/>
          <w:sz w:val="32"/>
          <w:szCs w:val="32"/>
        </w:rPr>
      </w:pPr>
    </w:p>
    <w:p w14:paraId="2309465D" w14:textId="77777777" w:rsidR="00961D67" w:rsidRDefault="00961D67" w:rsidP="008E539C">
      <w:pPr>
        <w:tabs>
          <w:tab w:val="left" w:pos="4460"/>
        </w:tabs>
        <w:rPr>
          <w:b/>
          <w:bCs/>
          <w:color w:val="FF0000"/>
          <w:sz w:val="32"/>
          <w:szCs w:val="32"/>
        </w:rPr>
      </w:pPr>
    </w:p>
    <w:p w14:paraId="139D0766" w14:textId="77777777" w:rsidR="004319D8" w:rsidRPr="00CE3E0D" w:rsidRDefault="004319D8" w:rsidP="008E539C">
      <w:pPr>
        <w:tabs>
          <w:tab w:val="left" w:pos="4460"/>
        </w:tabs>
        <w:rPr>
          <w:b/>
          <w:bCs/>
          <w:color w:val="FF0000"/>
          <w:sz w:val="32"/>
          <w:szCs w:val="32"/>
        </w:rPr>
      </w:pPr>
    </w:p>
    <w:p w14:paraId="2BC14035" w14:textId="77777777" w:rsidR="004319D8" w:rsidRPr="00CE3E0D" w:rsidRDefault="004319D8" w:rsidP="008E539C">
      <w:pPr>
        <w:tabs>
          <w:tab w:val="left" w:pos="4460"/>
        </w:tabs>
        <w:rPr>
          <w:b/>
          <w:bCs/>
          <w:color w:val="FF0000"/>
          <w:sz w:val="32"/>
          <w:szCs w:val="32"/>
        </w:rPr>
      </w:pPr>
    </w:p>
    <w:p w14:paraId="2EB6BB0E" w14:textId="77777777" w:rsidR="00961D67" w:rsidRPr="00CE3E0D" w:rsidRDefault="00961D67" w:rsidP="008E539C">
      <w:pPr>
        <w:tabs>
          <w:tab w:val="left" w:pos="4460"/>
        </w:tabs>
        <w:rPr>
          <w:b/>
          <w:bCs/>
          <w:color w:val="FF0000"/>
          <w:sz w:val="32"/>
          <w:szCs w:val="32"/>
        </w:rPr>
      </w:pPr>
    </w:p>
    <w:p w14:paraId="01880317" w14:textId="77777777" w:rsidR="004A0938" w:rsidRDefault="004A0938" w:rsidP="008E539C">
      <w:pPr>
        <w:tabs>
          <w:tab w:val="left" w:pos="4460"/>
        </w:tabs>
        <w:rPr>
          <w:b/>
          <w:bCs/>
          <w:sz w:val="32"/>
          <w:szCs w:val="32"/>
        </w:rPr>
      </w:pPr>
    </w:p>
    <w:sectPr w:rsidR="004A0938" w:rsidSect="008E53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AB5"/>
    <w:multiLevelType w:val="hybridMultilevel"/>
    <w:tmpl w:val="DE90E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A7CA8"/>
    <w:multiLevelType w:val="hybridMultilevel"/>
    <w:tmpl w:val="31A8529A"/>
    <w:lvl w:ilvl="0" w:tplc="784682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E43B4"/>
    <w:multiLevelType w:val="hybridMultilevel"/>
    <w:tmpl w:val="4DFE92E2"/>
    <w:lvl w:ilvl="0" w:tplc="6ACA2E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65F6A"/>
    <w:multiLevelType w:val="hybridMultilevel"/>
    <w:tmpl w:val="201AF14E"/>
    <w:lvl w:ilvl="0" w:tplc="1BD070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B74F7"/>
    <w:multiLevelType w:val="hybridMultilevel"/>
    <w:tmpl w:val="F7FAC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1D3F90"/>
    <w:multiLevelType w:val="hybridMultilevel"/>
    <w:tmpl w:val="A7667634"/>
    <w:lvl w:ilvl="0" w:tplc="784682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7620C"/>
    <w:multiLevelType w:val="hybridMultilevel"/>
    <w:tmpl w:val="54AA8EDE"/>
    <w:lvl w:ilvl="0" w:tplc="5F581988">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775F0"/>
    <w:multiLevelType w:val="hybridMultilevel"/>
    <w:tmpl w:val="96526DA2"/>
    <w:lvl w:ilvl="0" w:tplc="784682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C510B"/>
    <w:multiLevelType w:val="hybridMultilevel"/>
    <w:tmpl w:val="C928B642"/>
    <w:lvl w:ilvl="0" w:tplc="784682B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82088177">
    <w:abstractNumId w:val="3"/>
  </w:num>
  <w:num w:numId="2" w16cid:durableId="1283146133">
    <w:abstractNumId w:val="2"/>
  </w:num>
  <w:num w:numId="3" w16cid:durableId="1684820585">
    <w:abstractNumId w:val="5"/>
  </w:num>
  <w:num w:numId="4" w16cid:durableId="1831557533">
    <w:abstractNumId w:val="1"/>
  </w:num>
  <w:num w:numId="5" w16cid:durableId="395280104">
    <w:abstractNumId w:val="7"/>
  </w:num>
  <w:num w:numId="6" w16cid:durableId="798453390">
    <w:abstractNumId w:val="8"/>
  </w:num>
  <w:num w:numId="7" w16cid:durableId="74984976">
    <w:abstractNumId w:val="6"/>
  </w:num>
  <w:num w:numId="8" w16cid:durableId="390085064">
    <w:abstractNumId w:val="4"/>
  </w:num>
  <w:num w:numId="9" w16cid:durableId="186941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9C"/>
    <w:rsid w:val="000000A9"/>
    <w:rsid w:val="00001106"/>
    <w:rsid w:val="00044D1A"/>
    <w:rsid w:val="00060330"/>
    <w:rsid w:val="000A35D0"/>
    <w:rsid w:val="000C1716"/>
    <w:rsid w:val="000C45FA"/>
    <w:rsid w:val="000D15AE"/>
    <w:rsid w:val="000D7D60"/>
    <w:rsid w:val="001334E9"/>
    <w:rsid w:val="00152A55"/>
    <w:rsid w:val="00156941"/>
    <w:rsid w:val="001D72DC"/>
    <w:rsid w:val="001F7170"/>
    <w:rsid w:val="00221891"/>
    <w:rsid w:val="00256E36"/>
    <w:rsid w:val="002578B4"/>
    <w:rsid w:val="00284048"/>
    <w:rsid w:val="002A03A3"/>
    <w:rsid w:val="002B4F8D"/>
    <w:rsid w:val="002E5075"/>
    <w:rsid w:val="00357532"/>
    <w:rsid w:val="003A1BC8"/>
    <w:rsid w:val="003B0A5E"/>
    <w:rsid w:val="003E3F66"/>
    <w:rsid w:val="00415AD3"/>
    <w:rsid w:val="00426A6F"/>
    <w:rsid w:val="004319D8"/>
    <w:rsid w:val="00445A8D"/>
    <w:rsid w:val="00453F49"/>
    <w:rsid w:val="00462D8E"/>
    <w:rsid w:val="004A0938"/>
    <w:rsid w:val="004A197D"/>
    <w:rsid w:val="004A4494"/>
    <w:rsid w:val="004C76F1"/>
    <w:rsid w:val="004D78FF"/>
    <w:rsid w:val="004E6734"/>
    <w:rsid w:val="004E7B67"/>
    <w:rsid w:val="004F0D78"/>
    <w:rsid w:val="00522F07"/>
    <w:rsid w:val="00534AEC"/>
    <w:rsid w:val="005B071A"/>
    <w:rsid w:val="005C2928"/>
    <w:rsid w:val="005D6664"/>
    <w:rsid w:val="005E5386"/>
    <w:rsid w:val="00607D71"/>
    <w:rsid w:val="006106A5"/>
    <w:rsid w:val="00643CF3"/>
    <w:rsid w:val="00676B08"/>
    <w:rsid w:val="006846D6"/>
    <w:rsid w:val="006A16DF"/>
    <w:rsid w:val="006B6043"/>
    <w:rsid w:val="006E47F6"/>
    <w:rsid w:val="007022CE"/>
    <w:rsid w:val="00703CA1"/>
    <w:rsid w:val="00706E2D"/>
    <w:rsid w:val="007119C5"/>
    <w:rsid w:val="00753D4F"/>
    <w:rsid w:val="007E065A"/>
    <w:rsid w:val="00826A58"/>
    <w:rsid w:val="008531E6"/>
    <w:rsid w:val="00880340"/>
    <w:rsid w:val="00897868"/>
    <w:rsid w:val="008A61FE"/>
    <w:rsid w:val="008B7AE2"/>
    <w:rsid w:val="008C5B87"/>
    <w:rsid w:val="008D4F1B"/>
    <w:rsid w:val="008E35E6"/>
    <w:rsid w:val="008E539C"/>
    <w:rsid w:val="009373BA"/>
    <w:rsid w:val="009410F1"/>
    <w:rsid w:val="00946F51"/>
    <w:rsid w:val="00952E4F"/>
    <w:rsid w:val="00961D67"/>
    <w:rsid w:val="00980108"/>
    <w:rsid w:val="00985787"/>
    <w:rsid w:val="009A0508"/>
    <w:rsid w:val="009B2CF0"/>
    <w:rsid w:val="009F79E9"/>
    <w:rsid w:val="00A04847"/>
    <w:rsid w:val="00A07A0E"/>
    <w:rsid w:val="00A23BBD"/>
    <w:rsid w:val="00A60B0F"/>
    <w:rsid w:val="00A96D61"/>
    <w:rsid w:val="00AE2F1D"/>
    <w:rsid w:val="00AF4755"/>
    <w:rsid w:val="00B06F28"/>
    <w:rsid w:val="00B2782D"/>
    <w:rsid w:val="00B33B86"/>
    <w:rsid w:val="00B36F9D"/>
    <w:rsid w:val="00B60B06"/>
    <w:rsid w:val="00B85438"/>
    <w:rsid w:val="00BC4AC7"/>
    <w:rsid w:val="00BF0B73"/>
    <w:rsid w:val="00C0504B"/>
    <w:rsid w:val="00C17A00"/>
    <w:rsid w:val="00C26814"/>
    <w:rsid w:val="00C73554"/>
    <w:rsid w:val="00C82217"/>
    <w:rsid w:val="00C94D41"/>
    <w:rsid w:val="00C9642A"/>
    <w:rsid w:val="00CD599B"/>
    <w:rsid w:val="00CE3E0D"/>
    <w:rsid w:val="00D0662E"/>
    <w:rsid w:val="00D4414D"/>
    <w:rsid w:val="00D649CB"/>
    <w:rsid w:val="00D64CBF"/>
    <w:rsid w:val="00D72FF8"/>
    <w:rsid w:val="00D7514D"/>
    <w:rsid w:val="00D760CD"/>
    <w:rsid w:val="00DA120A"/>
    <w:rsid w:val="00DA72CC"/>
    <w:rsid w:val="00DB7292"/>
    <w:rsid w:val="00DD7420"/>
    <w:rsid w:val="00DE055E"/>
    <w:rsid w:val="00DE3527"/>
    <w:rsid w:val="00DE73C1"/>
    <w:rsid w:val="00DF4D60"/>
    <w:rsid w:val="00E02B92"/>
    <w:rsid w:val="00E058B7"/>
    <w:rsid w:val="00E138D6"/>
    <w:rsid w:val="00E438E4"/>
    <w:rsid w:val="00E577A8"/>
    <w:rsid w:val="00E63179"/>
    <w:rsid w:val="00E66111"/>
    <w:rsid w:val="00EC175A"/>
    <w:rsid w:val="00ED0A36"/>
    <w:rsid w:val="00ED0D70"/>
    <w:rsid w:val="00EF13F5"/>
    <w:rsid w:val="00EF4631"/>
    <w:rsid w:val="00EF4B05"/>
    <w:rsid w:val="00F04030"/>
    <w:rsid w:val="00F17F42"/>
    <w:rsid w:val="00F209B2"/>
    <w:rsid w:val="00F650AE"/>
    <w:rsid w:val="00FB48F5"/>
    <w:rsid w:val="00FC4DB9"/>
    <w:rsid w:val="00FF082A"/>
    <w:rsid w:val="090230A5"/>
    <w:rsid w:val="0FF987D7"/>
    <w:rsid w:val="22A0B02C"/>
    <w:rsid w:val="267FCB59"/>
    <w:rsid w:val="4770927C"/>
    <w:rsid w:val="4F088874"/>
    <w:rsid w:val="5C17C96F"/>
    <w:rsid w:val="5D36BCE7"/>
    <w:rsid w:val="645DC5FF"/>
    <w:rsid w:val="78199443"/>
    <w:rsid w:val="7B5292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1614"/>
  <w15:chartTrackingRefBased/>
  <w15:docId w15:val="{AAAA2E9E-E923-44AD-8A23-F1756E98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9C"/>
    <w:rPr>
      <w:rFonts w:eastAsiaTheme="majorEastAsia" w:cstheme="majorBidi"/>
      <w:color w:val="272727" w:themeColor="text1" w:themeTint="D8"/>
    </w:rPr>
  </w:style>
  <w:style w:type="paragraph" w:styleId="Title">
    <w:name w:val="Title"/>
    <w:basedOn w:val="Normal"/>
    <w:next w:val="Normal"/>
    <w:link w:val="TitleChar"/>
    <w:uiPriority w:val="10"/>
    <w:qFormat/>
    <w:rsid w:val="008E5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9C"/>
    <w:pPr>
      <w:spacing w:before="160"/>
      <w:jc w:val="center"/>
    </w:pPr>
    <w:rPr>
      <w:i/>
      <w:iCs/>
      <w:color w:val="404040" w:themeColor="text1" w:themeTint="BF"/>
    </w:rPr>
  </w:style>
  <w:style w:type="character" w:customStyle="1" w:styleId="QuoteChar">
    <w:name w:val="Quote Char"/>
    <w:basedOn w:val="DefaultParagraphFont"/>
    <w:link w:val="Quote"/>
    <w:uiPriority w:val="29"/>
    <w:rsid w:val="008E539C"/>
    <w:rPr>
      <w:i/>
      <w:iCs/>
      <w:color w:val="404040" w:themeColor="text1" w:themeTint="BF"/>
    </w:rPr>
  </w:style>
  <w:style w:type="paragraph" w:styleId="ListParagraph">
    <w:name w:val="List Paragraph"/>
    <w:basedOn w:val="Normal"/>
    <w:uiPriority w:val="34"/>
    <w:qFormat/>
    <w:rsid w:val="008E539C"/>
    <w:pPr>
      <w:ind w:left="720"/>
      <w:contextualSpacing/>
    </w:pPr>
  </w:style>
  <w:style w:type="character" w:styleId="IntenseEmphasis">
    <w:name w:val="Intense Emphasis"/>
    <w:basedOn w:val="DefaultParagraphFont"/>
    <w:uiPriority w:val="21"/>
    <w:qFormat/>
    <w:rsid w:val="008E539C"/>
    <w:rPr>
      <w:i/>
      <w:iCs/>
      <w:color w:val="0F4761" w:themeColor="accent1" w:themeShade="BF"/>
    </w:rPr>
  </w:style>
  <w:style w:type="paragraph" w:styleId="IntenseQuote">
    <w:name w:val="Intense Quote"/>
    <w:basedOn w:val="Normal"/>
    <w:next w:val="Normal"/>
    <w:link w:val="IntenseQuoteChar"/>
    <w:uiPriority w:val="30"/>
    <w:qFormat/>
    <w:rsid w:val="008E5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39C"/>
    <w:rPr>
      <w:i/>
      <w:iCs/>
      <w:color w:val="0F4761" w:themeColor="accent1" w:themeShade="BF"/>
    </w:rPr>
  </w:style>
  <w:style w:type="character" w:styleId="IntenseReference">
    <w:name w:val="Intense Reference"/>
    <w:basedOn w:val="DefaultParagraphFont"/>
    <w:uiPriority w:val="32"/>
    <w:qFormat/>
    <w:rsid w:val="008E539C"/>
    <w:rPr>
      <w:b/>
      <w:bCs/>
      <w:smallCaps/>
      <w:color w:val="0F4761" w:themeColor="accent1" w:themeShade="BF"/>
      <w:spacing w:val="5"/>
    </w:rPr>
  </w:style>
  <w:style w:type="table" w:styleId="TableGrid">
    <w:name w:val="Table Grid"/>
    <w:basedOn w:val="TableNormal"/>
    <w:uiPriority w:val="39"/>
    <w:rsid w:val="004A0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522F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522F07"/>
  </w:style>
  <w:style w:type="character" w:styleId="Hyperlink">
    <w:name w:val="Hyperlink"/>
    <w:basedOn w:val="DefaultParagraphFont"/>
    <w:uiPriority w:val="99"/>
    <w:unhideWhenUsed/>
    <w:rsid w:val="00522F07"/>
    <w:rPr>
      <w:color w:val="0000FF"/>
      <w:u w:val="single"/>
    </w:rPr>
  </w:style>
  <w:style w:type="character" w:customStyle="1" w:styleId="legterm">
    <w:name w:val="legterm"/>
    <w:basedOn w:val="DefaultParagraphFont"/>
    <w:rsid w:val="00522F07"/>
  </w:style>
  <w:style w:type="character" w:styleId="UnresolvedMention">
    <w:name w:val="Unresolved Mention"/>
    <w:basedOn w:val="DefaultParagraphFont"/>
    <w:uiPriority w:val="99"/>
    <w:semiHidden/>
    <w:unhideWhenUsed/>
    <w:rsid w:val="00256E36"/>
    <w:rPr>
      <w:color w:val="605E5C"/>
      <w:shd w:val="clear" w:color="auto" w:fill="E1DFDD"/>
    </w:rPr>
  </w:style>
  <w:style w:type="character" w:styleId="CommentReference">
    <w:name w:val="annotation reference"/>
    <w:basedOn w:val="DefaultParagraphFont"/>
    <w:uiPriority w:val="99"/>
    <w:semiHidden/>
    <w:unhideWhenUsed/>
    <w:rsid w:val="00D64CBF"/>
    <w:rPr>
      <w:sz w:val="16"/>
      <w:szCs w:val="16"/>
    </w:rPr>
  </w:style>
  <w:style w:type="paragraph" w:styleId="CommentText">
    <w:name w:val="annotation text"/>
    <w:basedOn w:val="Normal"/>
    <w:link w:val="CommentTextChar"/>
    <w:uiPriority w:val="99"/>
    <w:unhideWhenUsed/>
    <w:rsid w:val="00D64CBF"/>
    <w:pPr>
      <w:spacing w:line="240" w:lineRule="auto"/>
    </w:pPr>
    <w:rPr>
      <w:sz w:val="20"/>
      <w:szCs w:val="20"/>
    </w:rPr>
  </w:style>
  <w:style w:type="character" w:customStyle="1" w:styleId="CommentTextChar">
    <w:name w:val="Comment Text Char"/>
    <w:basedOn w:val="DefaultParagraphFont"/>
    <w:link w:val="CommentText"/>
    <w:uiPriority w:val="99"/>
    <w:rsid w:val="00D64CBF"/>
    <w:rPr>
      <w:sz w:val="20"/>
      <w:szCs w:val="20"/>
    </w:rPr>
  </w:style>
  <w:style w:type="paragraph" w:styleId="CommentSubject">
    <w:name w:val="annotation subject"/>
    <w:basedOn w:val="CommentText"/>
    <w:next w:val="CommentText"/>
    <w:link w:val="CommentSubjectChar"/>
    <w:uiPriority w:val="99"/>
    <w:semiHidden/>
    <w:unhideWhenUsed/>
    <w:rsid w:val="00D64CBF"/>
    <w:rPr>
      <w:b/>
      <w:bCs/>
    </w:rPr>
  </w:style>
  <w:style w:type="character" w:customStyle="1" w:styleId="CommentSubjectChar">
    <w:name w:val="Comment Subject Char"/>
    <w:basedOn w:val="CommentTextChar"/>
    <w:link w:val="CommentSubject"/>
    <w:uiPriority w:val="99"/>
    <w:semiHidden/>
    <w:rsid w:val="00D64C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2176">
      <w:bodyDiv w:val="1"/>
      <w:marLeft w:val="0"/>
      <w:marRight w:val="0"/>
      <w:marTop w:val="0"/>
      <w:marBottom w:val="0"/>
      <w:divBdr>
        <w:top w:val="none" w:sz="0" w:space="0" w:color="auto"/>
        <w:left w:val="none" w:sz="0" w:space="0" w:color="auto"/>
        <w:bottom w:val="none" w:sz="0" w:space="0" w:color="auto"/>
        <w:right w:val="none" w:sz="0" w:space="0" w:color="auto"/>
      </w:divBdr>
    </w:div>
    <w:div w:id="295722839">
      <w:bodyDiv w:val="1"/>
      <w:marLeft w:val="0"/>
      <w:marRight w:val="0"/>
      <w:marTop w:val="0"/>
      <w:marBottom w:val="0"/>
      <w:divBdr>
        <w:top w:val="none" w:sz="0" w:space="0" w:color="auto"/>
        <w:left w:val="none" w:sz="0" w:space="0" w:color="auto"/>
        <w:bottom w:val="none" w:sz="0" w:space="0" w:color="auto"/>
        <w:right w:val="none" w:sz="0" w:space="0" w:color="auto"/>
      </w:divBdr>
    </w:div>
    <w:div w:id="722607158">
      <w:bodyDiv w:val="1"/>
      <w:marLeft w:val="0"/>
      <w:marRight w:val="0"/>
      <w:marTop w:val="0"/>
      <w:marBottom w:val="0"/>
      <w:divBdr>
        <w:top w:val="none" w:sz="0" w:space="0" w:color="auto"/>
        <w:left w:val="none" w:sz="0" w:space="0" w:color="auto"/>
        <w:bottom w:val="none" w:sz="0" w:space="0" w:color="auto"/>
        <w:right w:val="none" w:sz="0" w:space="0" w:color="auto"/>
      </w:divBdr>
    </w:div>
    <w:div w:id="1471826029">
      <w:bodyDiv w:val="1"/>
      <w:marLeft w:val="0"/>
      <w:marRight w:val="0"/>
      <w:marTop w:val="0"/>
      <w:marBottom w:val="0"/>
      <w:divBdr>
        <w:top w:val="none" w:sz="0" w:space="0" w:color="auto"/>
        <w:left w:val="none" w:sz="0" w:space="0" w:color="auto"/>
        <w:bottom w:val="none" w:sz="0" w:space="0" w:color="auto"/>
        <w:right w:val="none" w:sz="0" w:space="0" w:color="auto"/>
      </w:divBdr>
    </w:div>
    <w:div w:id="16770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organisations/companies-house" TargetMode="External"/><Relationship Id="rId4" Type="http://schemas.openxmlformats.org/officeDocument/2006/relationships/numbering" Target="numbering.xml"/><Relationship Id="rId9" Type="http://schemas.openxmlformats.org/officeDocument/2006/relationships/hyperlink" Target="mailto:leliaison@companieshou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F4CA8B0807348968C613CCCDB3AE2" ma:contentTypeVersion="8" ma:contentTypeDescription="Create a new document." ma:contentTypeScope="" ma:versionID="f1694aa08d738e4b4462eec13de1f801">
  <xsd:schema xmlns:xsd="http://www.w3.org/2001/XMLSchema" xmlns:xs="http://www.w3.org/2001/XMLSchema" xmlns:p="http://schemas.microsoft.com/office/2006/metadata/properties" xmlns:ns2="00ed0b23-3868-4819-b9b1-ac203528ac08" targetNamespace="http://schemas.microsoft.com/office/2006/metadata/properties" ma:root="true" ma:fieldsID="328b0d2a6bc4994d822e7c6eb4b6f210" ns2:_="">
    <xsd:import namespace="00ed0b23-3868-4819-b9b1-ac203528a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d0b23-3868-4819-b9b1-ac203528a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CAB1D-E855-47C7-85FF-53C1A0369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0C1A1A-BE62-41D4-B967-51B760DF51E7}">
  <ds:schemaRefs>
    <ds:schemaRef ds:uri="http://schemas.microsoft.com/sharepoint/v3/contenttype/forms"/>
  </ds:schemaRefs>
</ds:datastoreItem>
</file>

<file path=customXml/itemProps3.xml><?xml version="1.0" encoding="utf-8"?>
<ds:datastoreItem xmlns:ds="http://schemas.openxmlformats.org/officeDocument/2006/customXml" ds:itemID="{3ACC3A64-0F17-4B64-8EC8-2BC72B92F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d0b23-3868-4819-b9b1-ac203528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acfe5e-7f2a-455a-9d85-ecf93371f601}" enabled="0" method="" siteId="{e6acfe5e-7f2a-455a-9d85-ecf93371f601}"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Walters</dc:creator>
  <cp:keywords/>
  <dc:description/>
  <cp:lastModifiedBy>Dylan Tom</cp:lastModifiedBy>
  <cp:revision>2</cp:revision>
  <dcterms:created xsi:type="dcterms:W3CDTF">2025-05-16T11:40:00Z</dcterms:created>
  <dcterms:modified xsi:type="dcterms:W3CDTF">2025-05-16T11:40:00Z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0x010100B89F4CA8B0807348968C613CCCDB3AE2</vt:lpwstr>
  </property>
</Properties>
</file>