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E98B" w14:textId="2ECC1380" w:rsidR="00497684" w:rsidRPr="00992253" w:rsidRDefault="007D4DB7" w:rsidP="007528AA">
      <w:pPr>
        <w:pStyle w:val="Heading1"/>
      </w:pPr>
      <w:r>
        <w:t>Helpsheet</w:t>
      </w:r>
      <w:r w:rsidR="00E86477">
        <w:t xml:space="preserve">: </w:t>
      </w:r>
      <w:r w:rsidR="00010B71">
        <w:t>Clients’ Money</w:t>
      </w:r>
    </w:p>
    <w:p w14:paraId="03855EB1" w14:textId="23C5B999" w:rsidR="00497684" w:rsidRPr="007528AA" w:rsidRDefault="00497684" w:rsidP="007528AA">
      <w:pPr>
        <w:pStyle w:val="ICASBoxOutBody"/>
      </w:pPr>
      <w:r w:rsidRPr="007528AA">
        <w:rPr>
          <w:b/>
          <w:bCs/>
        </w:rPr>
        <w:t>Issued</w:t>
      </w:r>
      <w:r w:rsidR="00DD2889" w:rsidRPr="007528AA">
        <w:rPr>
          <w:b/>
          <w:bCs/>
        </w:rPr>
        <w:t>:</w:t>
      </w:r>
      <w:r w:rsidRPr="007528AA">
        <w:t xml:space="preserve"> </w:t>
      </w:r>
      <w:r w:rsidR="00757167">
        <w:t>January 2016</w:t>
      </w:r>
    </w:p>
    <w:p w14:paraId="57865399" w14:textId="0986870D" w:rsidR="003F692B" w:rsidRPr="007528AA" w:rsidRDefault="003F692B" w:rsidP="007528AA">
      <w:pPr>
        <w:pStyle w:val="ICASBoxOutBody"/>
      </w:pPr>
      <w:r w:rsidRPr="007528AA">
        <w:rPr>
          <w:b/>
          <w:bCs/>
        </w:rPr>
        <w:t>Last issued</w:t>
      </w:r>
      <w:r w:rsidR="00DD2889" w:rsidRPr="007528AA">
        <w:rPr>
          <w:b/>
          <w:bCs/>
        </w:rPr>
        <w:t>:</w:t>
      </w:r>
      <w:r w:rsidRPr="007528AA">
        <w:t xml:space="preserve"> </w:t>
      </w:r>
      <w:r w:rsidR="00757167">
        <w:t>July 2024</w:t>
      </w:r>
    </w:p>
    <w:p w14:paraId="2827816E" w14:textId="73E8C652" w:rsidR="00497684" w:rsidRPr="007528AA" w:rsidRDefault="00497684" w:rsidP="007528AA">
      <w:pPr>
        <w:pStyle w:val="ICASBoxOutBody"/>
      </w:pPr>
      <w:r w:rsidRPr="007528AA">
        <w:rPr>
          <w:b/>
          <w:bCs/>
        </w:rPr>
        <w:t>Last reviewed</w:t>
      </w:r>
      <w:r w:rsidR="00DD2889" w:rsidRPr="007528AA">
        <w:rPr>
          <w:b/>
          <w:bCs/>
        </w:rPr>
        <w:t>:</w:t>
      </w:r>
      <w:r w:rsidRPr="007528AA">
        <w:t xml:space="preserve"> </w:t>
      </w:r>
      <w:r w:rsidR="00757167">
        <w:t>July 2024</w:t>
      </w:r>
    </w:p>
    <w:p w14:paraId="0DE81953" w14:textId="77777777" w:rsidR="004B2378" w:rsidRDefault="004B2378" w:rsidP="00701930">
      <w:pPr>
        <w:pStyle w:val="Subtitle"/>
      </w:pPr>
    </w:p>
    <w:p w14:paraId="612946B5" w14:textId="04175954" w:rsidR="007030EE" w:rsidRDefault="0008626B" w:rsidP="00701930">
      <w:pPr>
        <w:pStyle w:val="Subtitle"/>
      </w:pPr>
      <w:r w:rsidRPr="0008626B">
        <w:t xml:space="preserve">This </w:t>
      </w:r>
      <w:proofErr w:type="spellStart"/>
      <w:r>
        <w:t>helpsheet</w:t>
      </w:r>
      <w:proofErr w:type="spellEnd"/>
      <w:r>
        <w:t xml:space="preserve"> incorporates </w:t>
      </w:r>
      <w:r w:rsidRPr="0008626B">
        <w:t xml:space="preserve">guidance </w:t>
      </w:r>
      <w:r w:rsidR="00701930">
        <w:t xml:space="preserve">on the application </w:t>
      </w:r>
      <w:r w:rsidRPr="0008626B">
        <w:t>of ICAS’ Clients’ Money Regulations.</w:t>
      </w:r>
    </w:p>
    <w:p w14:paraId="5F53CE8A" w14:textId="7D632FAF" w:rsidR="00033FD4" w:rsidRDefault="003F692B" w:rsidP="00DD2889">
      <w:pPr>
        <w:pStyle w:val="Heading2"/>
        <w:spacing w:before="120" w:after="120"/>
      </w:pPr>
      <w:r w:rsidRPr="00992253">
        <w:t>Introduction</w:t>
      </w:r>
    </w:p>
    <w:p w14:paraId="4CFC025C" w14:textId="496DD083" w:rsidR="00826A67" w:rsidRDefault="00826A67" w:rsidP="00826A67">
      <w:pPr>
        <w:pStyle w:val="ICASBody"/>
      </w:pPr>
      <w:r>
        <w:t xml:space="preserve">This </w:t>
      </w:r>
      <w:proofErr w:type="spellStart"/>
      <w:r>
        <w:t>helpsheet</w:t>
      </w:r>
      <w:proofErr w:type="spellEnd"/>
      <w:r>
        <w:t xml:space="preserve"> is intended to assist members in practice in understanding the </w:t>
      </w:r>
      <w:hyperlink r:id="rId10" w:history="1">
        <w:r w:rsidRPr="008477B6">
          <w:rPr>
            <w:rStyle w:val="Hyperlink"/>
          </w:rPr>
          <w:t>Clients’ Money Regulations</w:t>
        </w:r>
      </w:hyperlink>
      <w:r>
        <w:t xml:space="preserve"> (‘the CMR’) by including some further definitions and explanations as well as a useful summary of the most commonly asked questions. </w:t>
      </w:r>
    </w:p>
    <w:p w14:paraId="7AF36B1F" w14:textId="77777777" w:rsidR="00826A67" w:rsidRDefault="00826A67" w:rsidP="00826A67">
      <w:pPr>
        <w:pStyle w:val="ICASBody"/>
      </w:pPr>
      <w:r>
        <w:t xml:space="preserve">Within this </w:t>
      </w:r>
      <w:proofErr w:type="spellStart"/>
      <w:r>
        <w:t>helpsheet</w:t>
      </w:r>
      <w:proofErr w:type="spellEnd"/>
      <w:r>
        <w:t xml:space="preserve"> we will use the term ‘firm’ to mean the following: </w:t>
      </w:r>
    </w:p>
    <w:p w14:paraId="67616D16" w14:textId="7A04C025" w:rsidR="00826A67" w:rsidRDefault="00826A67" w:rsidP="00DD3F90">
      <w:pPr>
        <w:pStyle w:val="ICASBody"/>
        <w:numPr>
          <w:ilvl w:val="0"/>
          <w:numId w:val="21"/>
        </w:numPr>
      </w:pPr>
      <w:r>
        <w:t xml:space="preserve">a member who is engaged in practice as a sole practitioner, providing accountancy or related </w:t>
      </w:r>
      <w:proofErr w:type="gramStart"/>
      <w:r>
        <w:t>services;</w:t>
      </w:r>
      <w:proofErr w:type="gramEnd"/>
      <w:r>
        <w:t xml:space="preserve"> </w:t>
      </w:r>
    </w:p>
    <w:p w14:paraId="1FA2C354" w14:textId="234C383D" w:rsidR="00826A67" w:rsidRDefault="00826A67" w:rsidP="00DD3F90">
      <w:pPr>
        <w:pStyle w:val="ICASBody"/>
        <w:numPr>
          <w:ilvl w:val="0"/>
          <w:numId w:val="21"/>
        </w:numPr>
      </w:pPr>
      <w:r>
        <w:t xml:space="preserve">a body corporate, partnership, limited liability partnership or unincorporated practice, which contains one or more members, and which provides accountancy or related services; or </w:t>
      </w:r>
    </w:p>
    <w:p w14:paraId="4C3D02D6" w14:textId="3E164C1C" w:rsidR="00826A67" w:rsidRPr="00826A67" w:rsidRDefault="00826A67" w:rsidP="00DD3F90">
      <w:pPr>
        <w:pStyle w:val="ICASBody"/>
        <w:numPr>
          <w:ilvl w:val="0"/>
          <w:numId w:val="21"/>
        </w:numPr>
      </w:pPr>
      <w:r>
        <w:t>a member or affiliate who is licensed by ICAS as an Insolvency Practitioner (IP).</w:t>
      </w:r>
    </w:p>
    <w:p w14:paraId="13C6D7A9" w14:textId="77777777" w:rsidR="00F32D5D" w:rsidRDefault="00F32D5D" w:rsidP="00F32D5D">
      <w:pPr>
        <w:pStyle w:val="Heading2"/>
      </w:pPr>
      <w:r>
        <w:t>Firms which are authorised by the Financial Conduct Authority</w:t>
      </w:r>
    </w:p>
    <w:p w14:paraId="4E4C3799" w14:textId="77777777" w:rsidR="00F32D5D" w:rsidRDefault="00F32D5D" w:rsidP="00F32D5D">
      <w:pPr>
        <w:pStyle w:val="ICASBody"/>
      </w:pPr>
      <w:r>
        <w:t>For firms authorised by the FCA, any monies received or held which include an element of Investment Business Clients’ Money, as defined in the FCA Handbook, must be dealt with in accordance with the Handbook.</w:t>
      </w:r>
    </w:p>
    <w:p w14:paraId="5CFDD42D" w14:textId="0A58D8E5" w:rsidR="00F32D5D" w:rsidRDefault="00F32D5D" w:rsidP="00F32D5D">
      <w:pPr>
        <w:pStyle w:val="Heading2"/>
      </w:pPr>
      <w:r>
        <w:t>What is clients</w:t>
      </w:r>
      <w:r w:rsidR="00EF521F">
        <w:t>’</w:t>
      </w:r>
      <w:r>
        <w:t xml:space="preserve"> money? </w:t>
      </w:r>
    </w:p>
    <w:p w14:paraId="10C1BC42" w14:textId="77777777" w:rsidR="00F32D5D" w:rsidRDefault="00F32D5D" w:rsidP="00F32D5D">
      <w:pPr>
        <w:pStyle w:val="ICASBody"/>
      </w:pPr>
      <w:r>
        <w:t>It is any form of money, of any currency, which a firm holds or receives, for, from or on behalf of a client. In addition to traditional forms of money such as cash, cheques, bonds, and funds held in accounts, the definition of money under the CMR includes cryptocurrencies (also known as virtual currencies or digital currencies), for example the likes of Bitcoin, Ethereum, Ripple and Litecoin.</w:t>
      </w:r>
    </w:p>
    <w:p w14:paraId="735FF7C1" w14:textId="77777777" w:rsidR="00F32D5D" w:rsidRDefault="00F32D5D" w:rsidP="00F32D5D">
      <w:pPr>
        <w:pStyle w:val="ICASBody"/>
      </w:pPr>
      <w:r>
        <w:t xml:space="preserve">Clients’ money will also refer to estate money held by an IP licensed by ICAS for the prevailing statutory purposes of an insolvency appointment and money which is held by a firm as stakeholder, providing such money is not immediately due and payable on demand to the IP or to the firm’s own account. </w:t>
      </w:r>
    </w:p>
    <w:p w14:paraId="43B0A7C4" w14:textId="77777777" w:rsidR="00F32D5D" w:rsidRDefault="00F32D5D" w:rsidP="00F32D5D">
      <w:pPr>
        <w:pStyle w:val="ICASBody"/>
      </w:pPr>
      <w:r>
        <w:t>Clients’ money does not include fees paid for professional work performed or agreed to be performed, and clearly identifiable as such.</w:t>
      </w:r>
    </w:p>
    <w:p w14:paraId="6B20DF65" w14:textId="4C517743" w:rsidR="00F32D5D" w:rsidRDefault="00F32D5D" w:rsidP="00F32D5D">
      <w:pPr>
        <w:pStyle w:val="ICASBody"/>
      </w:pPr>
      <w:r>
        <w:t xml:space="preserve">Any money received by a firm which is intended for payment to a </w:t>
      </w:r>
      <w:proofErr w:type="gramStart"/>
      <w:r>
        <w:t>client</w:t>
      </w:r>
      <w:proofErr w:type="gramEnd"/>
      <w:r>
        <w:t xml:space="preserve"> or third party is also not client’s money. For example, where a client provides a cheque payable to HM Revenue &amp; Customs in respect of a tax payment which will be sent by a firm along with other enclosures, the cheque is not client</w:t>
      </w:r>
      <w:r w:rsidR="00EF521F">
        <w:t>’</w:t>
      </w:r>
      <w:r>
        <w:t>s money. Similarly, a cheque received by the firm from HM Revenue &amp; Customs where the cheque is made payable to the client is not client’s money.</w:t>
      </w:r>
    </w:p>
    <w:p w14:paraId="672713AF" w14:textId="77777777" w:rsidR="00F32D5D" w:rsidRDefault="00F32D5D" w:rsidP="00F32D5D">
      <w:pPr>
        <w:pStyle w:val="ICASBody"/>
      </w:pPr>
      <w:r>
        <w:t xml:space="preserve">Clients’ bank accounts should only be used only for receiving or making payments which relate to accountancy services which the firm is performing, has performed, or has been engaged to perform, for the client. </w:t>
      </w:r>
    </w:p>
    <w:p w14:paraId="612B134A" w14:textId="77777777" w:rsidR="00F32D5D" w:rsidRDefault="00F32D5D" w:rsidP="00F32D5D">
      <w:pPr>
        <w:pStyle w:val="ICASBody"/>
      </w:pPr>
      <w:r>
        <w:t xml:space="preserve">A clients’ bank account should therefore not be used, for example, to hold staff charity donations, rental for a property owned by a principal of the firm personally or used to process a draft or other instrument made payable to a client or third party. Similarly, a clients’ bank account should not be used as a transactional banking facility for clients. </w:t>
      </w:r>
    </w:p>
    <w:p w14:paraId="4C8FDB3E" w14:textId="77777777" w:rsidR="00F32D5D" w:rsidRDefault="00F32D5D" w:rsidP="00F32D5D">
      <w:pPr>
        <w:pStyle w:val="ICASBody"/>
      </w:pPr>
      <w:r>
        <w:lastRenderedPageBreak/>
        <w:t>Clients’ money would include money in which the firm is a stakeholder. For example, where a firm agrees to hold money independently in ‘escrow’ pending the completion of a transaction or settlement of a dispute. Such funds however are not subject to the requirements set out in the CMR in relation to accounting for interest on clients’ money. The firm may not earn interest for itself on such monies unless the firm and client agree this in writing. Firms should consider carefully the risks associated with dealing with funds in this type of arrangement which are likely to be high risk in terms of money laundering and terrorist finance risk assessment.</w:t>
      </w:r>
    </w:p>
    <w:p w14:paraId="45DABFCD" w14:textId="77777777" w:rsidR="00F32D5D" w:rsidRDefault="00F32D5D" w:rsidP="00F32D5D">
      <w:pPr>
        <w:pStyle w:val="Heading2"/>
      </w:pPr>
      <w:r>
        <w:t>Do the CMR cover other types of money?</w:t>
      </w:r>
    </w:p>
    <w:p w14:paraId="73FCF2FC" w14:textId="77777777" w:rsidR="00F32D5D" w:rsidRDefault="00F32D5D" w:rsidP="00F32D5D">
      <w:pPr>
        <w:pStyle w:val="ICASBody"/>
      </w:pPr>
      <w:r>
        <w:t>The CMR also contain provisions relating to mixed monies. These are monies received or held which contain clients’ money and money due to the firm. Mixed money received is required to be paid into a client bank account in the same way as clients’ money.</w:t>
      </w:r>
    </w:p>
    <w:p w14:paraId="4A02B3BE" w14:textId="77777777" w:rsidR="00F32D5D" w:rsidRDefault="00F32D5D" w:rsidP="00F32D5D">
      <w:pPr>
        <w:pStyle w:val="Heading2"/>
      </w:pPr>
      <w:r>
        <w:t>Do the CMR cover any other property?</w:t>
      </w:r>
    </w:p>
    <w:p w14:paraId="64B66626" w14:textId="77777777" w:rsidR="00F32D5D" w:rsidRDefault="00F32D5D" w:rsidP="00F32D5D">
      <w:pPr>
        <w:pStyle w:val="ICASBody"/>
      </w:pPr>
      <w:r>
        <w:t>Occasionally clients may ask for other property to be kept for safe keeping. This could include documents or moveable property. The CMR do not apply in these circumstances. However, any property held relating to an investment is governed by the Designated Professional Body (Investment Business) Handbook and the Firm should hold an appropriate Designated Professional Body licence. In addition, you should maintain details of receipt of this property, together with its current location.</w:t>
      </w:r>
    </w:p>
    <w:p w14:paraId="4479AFBF" w14:textId="77777777" w:rsidR="00F32D5D" w:rsidRDefault="00F32D5D" w:rsidP="00F32D5D">
      <w:pPr>
        <w:pStyle w:val="ICASBody"/>
      </w:pPr>
      <w:r>
        <w:t>If the client asks you to pass this property to a third party, then you should obtain prior written instructions to do so. You shall also need to obtain an acknowledgement of the receipt of the property from the third party.</w:t>
      </w:r>
    </w:p>
    <w:p w14:paraId="0B581A77" w14:textId="77777777" w:rsidR="00F32D5D" w:rsidRDefault="00F32D5D" w:rsidP="00F32D5D">
      <w:pPr>
        <w:pStyle w:val="Heading2"/>
      </w:pPr>
      <w:r>
        <w:t>What must be done on receipt of clients’ money?</w:t>
      </w:r>
    </w:p>
    <w:p w14:paraId="4DFC062B" w14:textId="10008458" w:rsidR="00F32D5D" w:rsidRDefault="00F32D5D" w:rsidP="00F32D5D">
      <w:pPr>
        <w:pStyle w:val="ICASBody"/>
      </w:pPr>
      <w:r>
        <w:t xml:space="preserve">If you receive any clients’ money you must immediately pay them into a client bank account. If your firm does not have a client bank account, then the </w:t>
      </w:r>
      <w:r w:rsidR="00AD7CB8">
        <w:t>CMR</w:t>
      </w:r>
      <w:r>
        <w:t xml:space="preserve"> require you to open one before you receive any clients’ money. </w:t>
      </w:r>
    </w:p>
    <w:p w14:paraId="58858FA3" w14:textId="77777777" w:rsidR="00F32D5D" w:rsidRDefault="00F32D5D" w:rsidP="00F32D5D">
      <w:pPr>
        <w:pStyle w:val="Heading2"/>
      </w:pPr>
      <w:r>
        <w:t>Are there any restrictions on where clients’ money can be held?</w:t>
      </w:r>
    </w:p>
    <w:p w14:paraId="16E44F43" w14:textId="52D9BD15" w:rsidR="00F32D5D" w:rsidRDefault="00F32D5D" w:rsidP="00F32D5D">
      <w:pPr>
        <w:pStyle w:val="ICASBody"/>
      </w:pPr>
      <w:r>
        <w:t xml:space="preserve">The </w:t>
      </w:r>
      <w:r w:rsidR="00AD7CB8">
        <w:t>CMR</w:t>
      </w:r>
      <w:r>
        <w:t xml:space="preserve"> require that client’s money must be deposited in a bank. The bank does not require to be in the UK but there are specific criteria that require to be met for the bank to be acceptable under the </w:t>
      </w:r>
      <w:r w:rsidR="00AD7CB8">
        <w:t>CMR</w:t>
      </w:r>
      <w:r>
        <w:t>. Details are contained within regulation 3.1 of the CMR.</w:t>
      </w:r>
    </w:p>
    <w:p w14:paraId="4FC17828" w14:textId="77777777" w:rsidR="00F32D5D" w:rsidRDefault="00F32D5D" w:rsidP="00F32D5D">
      <w:pPr>
        <w:pStyle w:val="ICASBody"/>
      </w:pPr>
      <w:r>
        <w:t xml:space="preserve">Exceptional care should be taken in relation to ‘challenger </w:t>
      </w:r>
      <w:proofErr w:type="gramStart"/>
      <w:r>
        <w:t>banks’</w:t>
      </w:r>
      <w:proofErr w:type="gramEnd"/>
      <w:r>
        <w:t xml:space="preserve"> and other similar online services. While many such providers might be commonly referred to as banks, in some instances they will not meet the definition of a bank under the CMR. In regulatory terms they may be an Electronic Money Institution, Money Remitter, or similar (terminology will differ depending upon legal jurisdictions).</w:t>
      </w:r>
    </w:p>
    <w:p w14:paraId="4C2B86EC" w14:textId="77777777" w:rsidR="00F32D5D" w:rsidRDefault="00F32D5D" w:rsidP="00F32D5D">
      <w:pPr>
        <w:pStyle w:val="ICASBody"/>
      </w:pPr>
      <w:r>
        <w:t>You should contact ICAS if you are not sure if a ‘bank’ you intend to use satisfies the criteria in the CMR.</w:t>
      </w:r>
    </w:p>
    <w:p w14:paraId="3CE3F742" w14:textId="77777777" w:rsidR="00F32D5D" w:rsidRDefault="00F32D5D" w:rsidP="00F32D5D">
      <w:pPr>
        <w:pStyle w:val="Heading2"/>
      </w:pPr>
      <w:r>
        <w:t>Is a single bank account acceptable for all clients’ money?</w:t>
      </w:r>
    </w:p>
    <w:p w14:paraId="10916B8E" w14:textId="77777777" w:rsidR="00F32D5D" w:rsidRDefault="00F32D5D" w:rsidP="00F32D5D">
      <w:pPr>
        <w:pStyle w:val="ICASBody"/>
      </w:pPr>
      <w:r>
        <w:t>A client bank account must be a separate account from other accounts of the firm and include ‘client’ in the account name (or in the case of an account relating to an insolvency appointment clearly indicate the name of the insolvency estate to which it relates, for example XYZ Ltd (in liquidation) or John Smith as liquidator of XYZ Ltd).</w:t>
      </w:r>
    </w:p>
    <w:p w14:paraId="35D7F27D" w14:textId="77777777" w:rsidR="00F32D5D" w:rsidRDefault="00F32D5D" w:rsidP="00F32D5D">
      <w:pPr>
        <w:pStyle w:val="ICASBody"/>
      </w:pPr>
      <w:r>
        <w:t xml:space="preserve">The account can either be a general client bank account into which clients’ money for multiple clients can be held at any one time, or a specific account relating to an individual client in which case the client must be clearly identifiable in the name of the account either through the </w:t>
      </w:r>
      <w:proofErr w:type="gramStart"/>
      <w:r>
        <w:t>client</w:t>
      </w:r>
      <w:proofErr w:type="gramEnd"/>
      <w:r>
        <w:t xml:space="preserve"> name being included or through numeric/alphabetic reference (e.g. client reference) which identifies the client.</w:t>
      </w:r>
    </w:p>
    <w:p w14:paraId="25A9F30A" w14:textId="387E7F53" w:rsidR="008C07FE" w:rsidRDefault="00F32D5D" w:rsidP="00F32D5D">
      <w:pPr>
        <w:pStyle w:val="ICASBody"/>
      </w:pPr>
      <w:r>
        <w:t>Although not a requirement of the CMR, funds relating to insolvency appointments cannot be held in a general account (see SIP 11 requirements).</w:t>
      </w:r>
    </w:p>
    <w:p w14:paraId="27328499" w14:textId="77777777" w:rsidR="004F19D2" w:rsidRPr="00154ABD" w:rsidRDefault="004F19D2" w:rsidP="004F19D2">
      <w:pPr>
        <w:pStyle w:val="Heading2"/>
      </w:pPr>
      <w:r w:rsidRPr="00154ABD">
        <w:lastRenderedPageBreak/>
        <w:t xml:space="preserve">Are there any other requirements in relation to opening a </w:t>
      </w:r>
      <w:r>
        <w:t>c</w:t>
      </w:r>
      <w:r w:rsidRPr="00154ABD">
        <w:t xml:space="preserve">lient </w:t>
      </w:r>
      <w:r>
        <w:t>b</w:t>
      </w:r>
      <w:r w:rsidRPr="00154ABD">
        <w:t xml:space="preserve">ank </w:t>
      </w:r>
      <w:r>
        <w:t>a</w:t>
      </w:r>
      <w:r w:rsidRPr="00154ABD">
        <w:t>ccount?</w:t>
      </w:r>
    </w:p>
    <w:p w14:paraId="58159A3A" w14:textId="77777777" w:rsidR="004F19D2" w:rsidRPr="00FE1EB5" w:rsidRDefault="004F19D2" w:rsidP="004F19D2">
      <w:pPr>
        <w:spacing w:before="120"/>
        <w:ind w:right="141"/>
        <w:rPr>
          <w:rFonts w:ascii="Arial" w:hAnsi="Arial" w:cs="Arial"/>
          <w:sz w:val="20"/>
        </w:rPr>
      </w:pPr>
      <w:r w:rsidRPr="79F22B36">
        <w:rPr>
          <w:rFonts w:ascii="Arial" w:hAnsi="Arial" w:cs="Arial"/>
          <w:sz w:val="20"/>
        </w:rPr>
        <w:t xml:space="preserve">On opening a </w:t>
      </w:r>
      <w:r>
        <w:rPr>
          <w:rFonts w:ascii="Arial" w:hAnsi="Arial" w:cs="Arial"/>
          <w:sz w:val="20"/>
        </w:rPr>
        <w:t>c</w:t>
      </w:r>
      <w:r w:rsidRPr="79F22B36">
        <w:rPr>
          <w:rFonts w:ascii="Arial" w:hAnsi="Arial" w:cs="Arial"/>
          <w:sz w:val="20"/>
        </w:rPr>
        <w:t xml:space="preserve">lient </w:t>
      </w:r>
      <w:r>
        <w:rPr>
          <w:rFonts w:ascii="Arial" w:hAnsi="Arial" w:cs="Arial"/>
          <w:sz w:val="20"/>
        </w:rPr>
        <w:t>b</w:t>
      </w:r>
      <w:r w:rsidRPr="79F22B36">
        <w:rPr>
          <w:rFonts w:ascii="Arial" w:hAnsi="Arial" w:cs="Arial"/>
          <w:sz w:val="20"/>
        </w:rPr>
        <w:t xml:space="preserve">ank </w:t>
      </w:r>
      <w:r>
        <w:rPr>
          <w:rFonts w:ascii="Arial" w:hAnsi="Arial" w:cs="Arial"/>
          <w:sz w:val="20"/>
        </w:rPr>
        <w:t>a</w:t>
      </w:r>
      <w:r w:rsidRPr="79F22B36">
        <w:rPr>
          <w:rFonts w:ascii="Arial" w:hAnsi="Arial" w:cs="Arial"/>
          <w:sz w:val="20"/>
        </w:rPr>
        <w:t xml:space="preserve">ccount, the </w:t>
      </w:r>
      <w:r>
        <w:rPr>
          <w:rFonts w:ascii="Arial" w:hAnsi="Arial" w:cs="Arial"/>
          <w:sz w:val="20"/>
        </w:rPr>
        <w:t>f</w:t>
      </w:r>
      <w:r w:rsidRPr="79F22B36">
        <w:rPr>
          <w:rFonts w:ascii="Arial" w:hAnsi="Arial" w:cs="Arial"/>
          <w:sz w:val="20"/>
        </w:rPr>
        <w:t xml:space="preserve">irm should notify the bank in writing that: </w:t>
      </w:r>
    </w:p>
    <w:p w14:paraId="4FCA8932" w14:textId="77777777" w:rsidR="004F19D2" w:rsidRPr="00BD0919" w:rsidRDefault="004F19D2" w:rsidP="004F19D2">
      <w:pPr>
        <w:pStyle w:val="ListParagraph"/>
        <w:numPr>
          <w:ilvl w:val="0"/>
          <w:numId w:val="22"/>
        </w:numPr>
        <w:spacing w:before="120"/>
        <w:ind w:left="709" w:right="141" w:hanging="425"/>
        <w:rPr>
          <w:rFonts w:ascii="Arial" w:hAnsi="Arial" w:cs="Arial"/>
          <w:sz w:val="20"/>
        </w:rPr>
      </w:pPr>
      <w:r w:rsidRPr="00BD0919">
        <w:rPr>
          <w:rFonts w:ascii="Arial" w:hAnsi="Arial" w:cs="Arial"/>
          <w:sz w:val="20"/>
        </w:rPr>
        <w:t xml:space="preserve">all money standing to the credit of the account is held by the firm as </w:t>
      </w:r>
      <w:r>
        <w:rPr>
          <w:rFonts w:ascii="Arial" w:hAnsi="Arial" w:cs="Arial"/>
          <w:sz w:val="20"/>
        </w:rPr>
        <w:t>c</w:t>
      </w:r>
      <w:r w:rsidRPr="00BD0919">
        <w:rPr>
          <w:rFonts w:ascii="Arial" w:hAnsi="Arial" w:cs="Arial"/>
          <w:sz w:val="20"/>
        </w:rPr>
        <w:t xml:space="preserve">lients' </w:t>
      </w:r>
      <w:proofErr w:type="gramStart"/>
      <w:r>
        <w:rPr>
          <w:rFonts w:ascii="Arial" w:hAnsi="Arial" w:cs="Arial"/>
          <w:sz w:val="20"/>
        </w:rPr>
        <w:t>m</w:t>
      </w:r>
      <w:r w:rsidRPr="00BD0919">
        <w:rPr>
          <w:rFonts w:ascii="Arial" w:hAnsi="Arial" w:cs="Arial"/>
          <w:sz w:val="20"/>
        </w:rPr>
        <w:t>oney;</w:t>
      </w:r>
      <w:proofErr w:type="gramEnd"/>
      <w:r w:rsidRPr="00BD0919">
        <w:rPr>
          <w:rFonts w:ascii="Arial" w:hAnsi="Arial" w:cs="Arial"/>
          <w:sz w:val="20"/>
        </w:rPr>
        <w:t xml:space="preserve"> </w:t>
      </w:r>
    </w:p>
    <w:p w14:paraId="27FE331C" w14:textId="77777777" w:rsidR="004F19D2" w:rsidRPr="00BD0919" w:rsidRDefault="004F19D2" w:rsidP="004F19D2">
      <w:pPr>
        <w:pStyle w:val="ListParagraph"/>
        <w:numPr>
          <w:ilvl w:val="0"/>
          <w:numId w:val="22"/>
        </w:numPr>
        <w:spacing w:before="120"/>
        <w:ind w:left="709" w:right="141" w:hanging="425"/>
        <w:rPr>
          <w:rFonts w:ascii="Arial" w:hAnsi="Arial" w:cs="Arial"/>
          <w:sz w:val="20"/>
        </w:rPr>
      </w:pPr>
      <w:r w:rsidRPr="00BD0919">
        <w:rPr>
          <w:rFonts w:ascii="Arial" w:hAnsi="Arial" w:cs="Arial"/>
          <w:sz w:val="20"/>
        </w:rPr>
        <w:t xml:space="preserve">the </w:t>
      </w:r>
      <w:r>
        <w:rPr>
          <w:rFonts w:ascii="Arial" w:hAnsi="Arial" w:cs="Arial"/>
          <w:sz w:val="20"/>
        </w:rPr>
        <w:t>b</w:t>
      </w:r>
      <w:r w:rsidRPr="00BD0919">
        <w:rPr>
          <w:rFonts w:ascii="Arial" w:hAnsi="Arial" w:cs="Arial"/>
          <w:sz w:val="20"/>
        </w:rPr>
        <w:t xml:space="preserve">ank may not combine the account with any other account, or exercise any right to set off or counterclaim against the account for any money owed to it by any other account of the </w:t>
      </w:r>
      <w:proofErr w:type="gramStart"/>
      <w:r>
        <w:rPr>
          <w:rFonts w:ascii="Arial" w:hAnsi="Arial" w:cs="Arial"/>
          <w:sz w:val="20"/>
        </w:rPr>
        <w:t>f</w:t>
      </w:r>
      <w:r w:rsidRPr="00BD0919">
        <w:rPr>
          <w:rFonts w:ascii="Arial" w:hAnsi="Arial" w:cs="Arial"/>
          <w:sz w:val="20"/>
        </w:rPr>
        <w:t>irm;</w:t>
      </w:r>
      <w:proofErr w:type="gramEnd"/>
    </w:p>
    <w:p w14:paraId="5DFB7AE2" w14:textId="77777777" w:rsidR="004F19D2" w:rsidRPr="00BD0919" w:rsidRDefault="004F19D2" w:rsidP="004F19D2">
      <w:pPr>
        <w:pStyle w:val="ListParagraph"/>
        <w:numPr>
          <w:ilvl w:val="0"/>
          <w:numId w:val="22"/>
        </w:numPr>
        <w:spacing w:before="120"/>
        <w:ind w:left="709" w:right="141" w:hanging="425"/>
        <w:rPr>
          <w:rFonts w:ascii="Arial" w:hAnsi="Arial" w:cs="Arial"/>
          <w:sz w:val="20"/>
        </w:rPr>
      </w:pPr>
      <w:r w:rsidRPr="00BD0919">
        <w:rPr>
          <w:rFonts w:ascii="Arial" w:hAnsi="Arial" w:cs="Arial"/>
          <w:sz w:val="20"/>
        </w:rPr>
        <w:t xml:space="preserve">interest payable on the money in the account must be credited to that </w:t>
      </w:r>
      <w:proofErr w:type="gramStart"/>
      <w:r w:rsidRPr="00BD0919">
        <w:rPr>
          <w:rFonts w:ascii="Arial" w:hAnsi="Arial" w:cs="Arial"/>
          <w:sz w:val="20"/>
        </w:rPr>
        <w:t>account;</w:t>
      </w:r>
      <w:proofErr w:type="gramEnd"/>
      <w:r w:rsidRPr="00BD0919">
        <w:rPr>
          <w:rFonts w:ascii="Arial" w:hAnsi="Arial" w:cs="Arial"/>
          <w:sz w:val="20"/>
        </w:rPr>
        <w:t xml:space="preserve"> </w:t>
      </w:r>
    </w:p>
    <w:p w14:paraId="082325C5" w14:textId="77777777" w:rsidR="004A4B24" w:rsidRDefault="004F19D2" w:rsidP="004A4B24">
      <w:pPr>
        <w:pStyle w:val="ICASBody"/>
      </w:pPr>
      <w:r w:rsidRPr="00BD0919">
        <w:t xml:space="preserve">the </w:t>
      </w:r>
      <w:r>
        <w:t>b</w:t>
      </w:r>
      <w:r w:rsidRPr="00BD0919">
        <w:t xml:space="preserve">ank must describe the account in its records to make it clear that the money in the account does not belong to the </w:t>
      </w:r>
      <w:r>
        <w:t>f</w:t>
      </w:r>
      <w:r w:rsidRPr="00BD0919">
        <w:t>irm</w:t>
      </w:r>
      <w:r>
        <w:t>.</w:t>
      </w:r>
    </w:p>
    <w:p w14:paraId="606D915E" w14:textId="7E546E94" w:rsidR="004F19D2" w:rsidRPr="00FE1EB5" w:rsidRDefault="004F19D2" w:rsidP="004A4B24">
      <w:pPr>
        <w:pStyle w:val="ICASBody"/>
      </w:pPr>
      <w:r>
        <w:t>I</w:t>
      </w:r>
      <w:r w:rsidRPr="00FE1EB5">
        <w:t xml:space="preserve">f it is not otherwise clear from the </w:t>
      </w:r>
      <w:r>
        <w:t>b</w:t>
      </w:r>
      <w:r w:rsidRPr="00FE1EB5">
        <w:t>ank’s terms and conditions for the account</w:t>
      </w:r>
      <w:r>
        <w:t xml:space="preserve"> that the above provisions are incorporated</w:t>
      </w:r>
      <w:r w:rsidRPr="00FE1EB5">
        <w:t xml:space="preserve">, the </w:t>
      </w:r>
      <w:r>
        <w:t>b</w:t>
      </w:r>
      <w:r w:rsidRPr="00FE1EB5">
        <w:t>ank must acknowledge in writing that it accepts these terms.</w:t>
      </w:r>
    </w:p>
    <w:p w14:paraId="666EA454" w14:textId="77777777" w:rsidR="004F19D2" w:rsidRDefault="004F19D2" w:rsidP="004A4B24">
      <w:pPr>
        <w:pStyle w:val="ICASBody"/>
      </w:pPr>
      <w:r>
        <w:t xml:space="preserve">The bank must acknowledge this in writing within 30 days, otherwise the firm should remove all money from the account and deposit the money to an alternative bank. If this is not possible, then the money should be returned to the client. </w:t>
      </w:r>
    </w:p>
    <w:p w14:paraId="3DA31AE9" w14:textId="77777777" w:rsidR="004F19D2" w:rsidRDefault="004F19D2" w:rsidP="004A4B24">
      <w:pPr>
        <w:pStyle w:val="ICASBody"/>
      </w:pPr>
      <w:r>
        <w:t>The notice provided to the bank and a copy of the terms and conditions for the account (or the bank’s written acknowledgement of acceptance of the notice) should be retained by the firm as part of the clients’ bank account records.</w:t>
      </w:r>
    </w:p>
    <w:p w14:paraId="354C21CE" w14:textId="77777777" w:rsidR="004F19D2" w:rsidRPr="00970633" w:rsidRDefault="004F19D2" w:rsidP="004A4B24">
      <w:pPr>
        <w:pStyle w:val="ICASBody"/>
      </w:pPr>
      <w:r>
        <w:t xml:space="preserve">There are additional requirements that apply to money held in a bank account outside of the UK, the detail of which can be found in the CMR.  </w:t>
      </w:r>
    </w:p>
    <w:p w14:paraId="44B9A86A" w14:textId="77777777" w:rsidR="004F19D2" w:rsidRDefault="004F19D2" w:rsidP="004A4B24">
      <w:pPr>
        <w:pStyle w:val="Heading2"/>
      </w:pPr>
      <w:r>
        <w:t>Money Laundering and Terrorist Financing (MLTF) considerations</w:t>
      </w:r>
    </w:p>
    <w:p w14:paraId="5205714F" w14:textId="1AE80F64" w:rsidR="00BA3678" w:rsidRDefault="00BA3678" w:rsidP="004A4B24">
      <w:pPr>
        <w:pStyle w:val="ICASBody"/>
      </w:pPr>
      <w:r>
        <w:t xml:space="preserve">In complying with MLTF obligations a firm must adopt a risk-based approach. More detailed information on MLTF requirements is available in the </w:t>
      </w:r>
      <w:hyperlink r:id="rId11" w:history="1">
        <w:r w:rsidRPr="00257EB9">
          <w:rPr>
            <w:rStyle w:val="Hyperlink"/>
          </w:rPr>
          <w:t xml:space="preserve">AML </w:t>
        </w:r>
        <w:proofErr w:type="spellStart"/>
        <w:r w:rsidRPr="00257EB9">
          <w:rPr>
            <w:rStyle w:val="Hyperlink"/>
          </w:rPr>
          <w:t>helpsheet</w:t>
        </w:r>
        <w:proofErr w:type="spellEnd"/>
      </w:hyperlink>
      <w:r w:rsidRPr="00257EB9">
        <w:t>.</w:t>
      </w:r>
    </w:p>
    <w:p w14:paraId="35D8C315" w14:textId="225BA1FB" w:rsidR="00BA3678" w:rsidRDefault="00BA3678" w:rsidP="004A4B24">
      <w:pPr>
        <w:pStyle w:val="ICASBody"/>
      </w:pPr>
      <w:r>
        <w:t xml:space="preserve">In implementing a risk based approach, the </w:t>
      </w:r>
      <w:hyperlink r:id="rId12" w:history="1">
        <w:r w:rsidRPr="00BE58DB">
          <w:rPr>
            <w:rStyle w:val="Hyperlink"/>
          </w:rPr>
          <w:t>CCAB AML Guidance for the Accountancy Sector</w:t>
        </w:r>
      </w:hyperlink>
      <w:r>
        <w:t xml:space="preserve"> requires the ongoing monitoring of a client relationship. On identifying that clients’ monies are expected, or on receipt of unexpected clients’ money, consideration should be given to whether an event driven review would require to be undertaken. This may be influenced by factors such as the value of clients’ money to be received (in a single or linked transactions), the nature and source of the funds and the current risk assessment level associated with the client.</w:t>
      </w:r>
    </w:p>
    <w:p w14:paraId="57C0DF3C" w14:textId="77777777" w:rsidR="00BA3678" w:rsidRPr="00BD11AB" w:rsidRDefault="00BA3678" w:rsidP="004A4B24">
      <w:pPr>
        <w:pStyle w:val="ICASBody"/>
      </w:pPr>
      <w:r>
        <w:t>Where appropriate, client due diligence should be carried out, including where necessary ensuring that all client identification has been undertaken and remains appropriate.</w:t>
      </w:r>
    </w:p>
    <w:p w14:paraId="1D40DC23" w14:textId="77777777" w:rsidR="00BA3678" w:rsidRPr="008E3282" w:rsidRDefault="00BA3678" w:rsidP="00B87FC8">
      <w:pPr>
        <w:pStyle w:val="Heading2"/>
      </w:pPr>
      <w:r w:rsidRPr="008E3282">
        <w:t xml:space="preserve">Operating a </w:t>
      </w:r>
      <w:r>
        <w:t>c</w:t>
      </w:r>
      <w:r w:rsidRPr="008E3282">
        <w:t xml:space="preserve">lient </w:t>
      </w:r>
      <w:r>
        <w:t>b</w:t>
      </w:r>
      <w:r w:rsidRPr="008E3282">
        <w:t xml:space="preserve">ank </w:t>
      </w:r>
      <w:r>
        <w:t>a</w:t>
      </w:r>
      <w:r w:rsidRPr="008E3282">
        <w:t xml:space="preserve">ccount </w:t>
      </w:r>
    </w:p>
    <w:p w14:paraId="5C49EE4C" w14:textId="77777777" w:rsidR="00BA3678" w:rsidRPr="001B6019" w:rsidRDefault="00BA3678" w:rsidP="00B65DC2">
      <w:pPr>
        <w:pStyle w:val="ICASBody"/>
      </w:pPr>
      <w:r w:rsidRPr="001B6019">
        <w:t xml:space="preserve">Please refer to the </w:t>
      </w:r>
      <w:r>
        <w:t>CMR</w:t>
      </w:r>
      <w:r w:rsidRPr="001B6019">
        <w:t xml:space="preserve"> for a full list of requirements</w:t>
      </w:r>
      <w:r>
        <w:t>.</w:t>
      </w:r>
      <w:r w:rsidRPr="001B6019">
        <w:t xml:space="preserve"> </w:t>
      </w:r>
      <w:r>
        <w:t>T</w:t>
      </w:r>
      <w:r w:rsidRPr="001B6019">
        <w:t>he main points are as follows:</w:t>
      </w:r>
    </w:p>
    <w:p w14:paraId="1B47D3AC" w14:textId="77777777" w:rsidR="00BA3678" w:rsidRDefault="00BA3678" w:rsidP="00B65DC2">
      <w:pPr>
        <w:pStyle w:val="Title"/>
      </w:pPr>
      <w:r>
        <w:t xml:space="preserve">Any clients’ money or mixed money received by the </w:t>
      </w:r>
      <w:proofErr w:type="gramStart"/>
      <w:r>
        <w:t>firm</w:t>
      </w:r>
      <w:proofErr w:type="gramEnd"/>
      <w:r>
        <w:t xml:space="preserve"> or a principal of the firm must either be paid to the client or paid into a client bank account no later than the end of the next business day following receipt.</w:t>
      </w:r>
    </w:p>
    <w:p w14:paraId="2D901CD7" w14:textId="77777777" w:rsidR="00BA3678" w:rsidRDefault="00BA3678" w:rsidP="00B65DC2">
      <w:pPr>
        <w:pStyle w:val="Title"/>
      </w:pPr>
      <w:r w:rsidRPr="00741E3A">
        <w:t xml:space="preserve">Where money of any one client is </w:t>
      </w:r>
      <w:proofErr w:type="gramStart"/>
      <w:r w:rsidRPr="00741E3A">
        <w:t>in excess of</w:t>
      </w:r>
      <w:proofErr w:type="gramEnd"/>
      <w:r w:rsidRPr="00741E3A">
        <w:t xml:space="preserve"> £10,000 is held or it is expected to be held for more than 30 days, the money must be deposited into a separately designated </w:t>
      </w:r>
      <w:r>
        <w:t>c</w:t>
      </w:r>
      <w:r w:rsidRPr="00741E3A">
        <w:t xml:space="preserve">lient </w:t>
      </w:r>
      <w:r>
        <w:t>b</w:t>
      </w:r>
      <w:r w:rsidRPr="00741E3A">
        <w:t xml:space="preserve">ank </w:t>
      </w:r>
      <w:r>
        <w:t>a</w:t>
      </w:r>
      <w:r w:rsidRPr="00741E3A">
        <w:t>ccount.</w:t>
      </w:r>
    </w:p>
    <w:p w14:paraId="0CAF3628" w14:textId="77777777" w:rsidR="00BA3678" w:rsidRPr="00741E3A" w:rsidRDefault="00BA3678" w:rsidP="00B65DC2">
      <w:pPr>
        <w:pStyle w:val="Title"/>
      </w:pPr>
      <w:r w:rsidRPr="00741E3A">
        <w:t xml:space="preserve">If it </w:t>
      </w:r>
      <w:r>
        <w:t>is</w:t>
      </w:r>
      <w:r w:rsidRPr="00741E3A">
        <w:t xml:space="preserve"> found that the </w:t>
      </w:r>
      <w:r>
        <w:t>f</w:t>
      </w:r>
      <w:r w:rsidRPr="00741E3A">
        <w:t>irm has incorrectly paid money in</w:t>
      </w:r>
      <w:r>
        <w:t>to</w:t>
      </w:r>
      <w:r w:rsidRPr="00741E3A">
        <w:t xml:space="preserve"> a </w:t>
      </w:r>
      <w:r>
        <w:t>c</w:t>
      </w:r>
      <w:r w:rsidRPr="00741E3A">
        <w:t xml:space="preserve">lient </w:t>
      </w:r>
      <w:r>
        <w:t>b</w:t>
      </w:r>
      <w:r w:rsidRPr="00741E3A">
        <w:t xml:space="preserve">ank </w:t>
      </w:r>
      <w:r>
        <w:t>a</w:t>
      </w:r>
      <w:r w:rsidRPr="00741E3A">
        <w:t>ccount</w:t>
      </w:r>
      <w:r>
        <w:t>,</w:t>
      </w:r>
      <w:r w:rsidRPr="00741E3A">
        <w:t xml:space="preserve"> i</w:t>
      </w:r>
      <w:r>
        <w:t>t</w:t>
      </w:r>
      <w:r w:rsidRPr="00741E3A">
        <w:t xml:space="preserve"> should immediately take the necessary steps to rectify this.</w:t>
      </w:r>
    </w:p>
    <w:p w14:paraId="38BD4C09" w14:textId="77777777" w:rsidR="00BA3678" w:rsidRPr="00741E3A" w:rsidRDefault="00BA3678" w:rsidP="00B65DC2">
      <w:pPr>
        <w:pStyle w:val="Title"/>
      </w:pPr>
      <w:r w:rsidRPr="00741E3A">
        <w:t xml:space="preserve">Any withdrawals from a </w:t>
      </w:r>
      <w:r>
        <w:t>c</w:t>
      </w:r>
      <w:r w:rsidRPr="00741E3A">
        <w:t xml:space="preserve">lient </w:t>
      </w:r>
      <w:r>
        <w:t>b</w:t>
      </w:r>
      <w:r w:rsidRPr="00741E3A">
        <w:t xml:space="preserve">ank </w:t>
      </w:r>
      <w:r>
        <w:t>a</w:t>
      </w:r>
      <w:r w:rsidRPr="00741E3A">
        <w:t xml:space="preserve">ccount may only be made where a specific authority in respect of that withdrawal has been formally approved by a </w:t>
      </w:r>
      <w:r>
        <w:t>p</w:t>
      </w:r>
      <w:r w:rsidRPr="00741E3A">
        <w:t xml:space="preserve">rincipal of the </w:t>
      </w:r>
      <w:r>
        <w:t>f</w:t>
      </w:r>
      <w:r w:rsidRPr="00741E3A">
        <w:t xml:space="preserve">irm, or by an employee of the </w:t>
      </w:r>
      <w:r>
        <w:t>f</w:t>
      </w:r>
      <w:r w:rsidRPr="00741E3A">
        <w:t>irm to whom authority in wri</w:t>
      </w:r>
      <w:r>
        <w:t>tin</w:t>
      </w:r>
      <w:r w:rsidRPr="00741E3A">
        <w:t xml:space="preserve">g has been delegated. </w:t>
      </w:r>
    </w:p>
    <w:p w14:paraId="511AD541" w14:textId="77777777" w:rsidR="00BA3678" w:rsidRPr="00741E3A" w:rsidRDefault="00BA3678" w:rsidP="00B65DC2">
      <w:pPr>
        <w:pStyle w:val="Title"/>
      </w:pPr>
      <w:r w:rsidRPr="00741E3A">
        <w:t xml:space="preserve">The </w:t>
      </w:r>
      <w:r>
        <w:t>f</w:t>
      </w:r>
      <w:r w:rsidRPr="00741E3A">
        <w:t xml:space="preserve">irm must always ensure the sum of the credit balances held for clients is at least equal to the total balance held in the </w:t>
      </w:r>
      <w:r>
        <w:t>c</w:t>
      </w:r>
      <w:r w:rsidRPr="00741E3A">
        <w:t xml:space="preserve">lient </w:t>
      </w:r>
      <w:r>
        <w:t>b</w:t>
      </w:r>
      <w:r w:rsidRPr="00741E3A">
        <w:t xml:space="preserve">ank </w:t>
      </w:r>
      <w:r>
        <w:t>a</w:t>
      </w:r>
      <w:r w:rsidRPr="00741E3A">
        <w:t>ccounts. No amount should be withdrawn which is greater than the credit balance held on that account.</w:t>
      </w:r>
    </w:p>
    <w:p w14:paraId="4956A50E" w14:textId="77777777" w:rsidR="00B65DC2" w:rsidRDefault="00B65DC2">
      <w:pPr>
        <w:rPr>
          <w:rFonts w:ascii="Arial" w:hAnsi="Arial" w:cs="Arial"/>
          <w:b/>
          <w:bCs/>
          <w:color w:val="000000"/>
          <w:sz w:val="28"/>
          <w:szCs w:val="28"/>
        </w:rPr>
      </w:pPr>
      <w:r>
        <w:br w:type="page"/>
      </w:r>
    </w:p>
    <w:p w14:paraId="0D73EC3E" w14:textId="07B86DBD" w:rsidR="00BA3678" w:rsidRDefault="00BA3678" w:rsidP="00E77272">
      <w:pPr>
        <w:pStyle w:val="Heading2"/>
      </w:pPr>
      <w:r>
        <w:lastRenderedPageBreak/>
        <w:t>Use of clients’ money to settle fees due to the firm</w:t>
      </w:r>
    </w:p>
    <w:p w14:paraId="333AC0E5" w14:textId="77777777" w:rsidR="00BA3678" w:rsidRDefault="00BA3678" w:rsidP="00B65DC2">
      <w:pPr>
        <w:pStyle w:val="ICASBody"/>
      </w:pPr>
      <w:r w:rsidRPr="00563802">
        <w:t xml:space="preserve">Money may only be withdrawn from a </w:t>
      </w:r>
      <w:r>
        <w:t>c</w:t>
      </w:r>
      <w:r w:rsidRPr="00563802">
        <w:t xml:space="preserve">lient </w:t>
      </w:r>
      <w:r>
        <w:t>b</w:t>
      </w:r>
      <w:r w:rsidRPr="00563802">
        <w:t xml:space="preserve">ank </w:t>
      </w:r>
      <w:r>
        <w:t>a</w:t>
      </w:r>
      <w:r w:rsidRPr="00563802">
        <w:t xml:space="preserve">ccount for or towards payment of fees payable by the client to the </w:t>
      </w:r>
      <w:r>
        <w:t>f</w:t>
      </w:r>
      <w:r w:rsidRPr="00563802">
        <w:t xml:space="preserve">irm if: </w:t>
      </w:r>
    </w:p>
    <w:p w14:paraId="7006D7C5" w14:textId="77777777" w:rsidR="00BA3678" w:rsidRDefault="00BA3678" w:rsidP="00B65DC2">
      <w:pPr>
        <w:pStyle w:val="Title"/>
      </w:pPr>
      <w:r w:rsidRPr="00B14838">
        <w:t xml:space="preserve">the precise amount has been agreed by the client or has been finally determined by a court or arbiter; or </w:t>
      </w:r>
    </w:p>
    <w:p w14:paraId="5190A4D0" w14:textId="77777777" w:rsidR="00BA3678" w:rsidRPr="00B14838" w:rsidRDefault="00BA3678" w:rsidP="00B65DC2">
      <w:pPr>
        <w:pStyle w:val="Title"/>
      </w:pPr>
      <w:r w:rsidRPr="00B14838">
        <w:t xml:space="preserve">the fees have been accurately calculated in accordance with a formula agreed in writing by the client </w:t>
      </w:r>
      <w:proofErr w:type="gramStart"/>
      <w:r w:rsidRPr="00B14838">
        <w:t>on the basis of</w:t>
      </w:r>
      <w:proofErr w:type="gramEnd"/>
      <w:r w:rsidRPr="00B14838">
        <w:t xml:space="preserve"> which the amount can be determined; or </w:t>
      </w:r>
    </w:p>
    <w:p w14:paraId="3267F44D" w14:textId="51770DD1" w:rsidR="00201995" w:rsidRDefault="00BA3678" w:rsidP="00B65DC2">
      <w:pPr>
        <w:pStyle w:val="Title"/>
      </w:pPr>
      <w:r w:rsidRPr="00742D16">
        <w:t xml:space="preserve">thirty days (or such other period as may have been formally agreed with the client) have elapsed since the date of delivery to the client of a statement of fees and the client has not questioned the amount specified as due, </w:t>
      </w:r>
      <w:r w:rsidRPr="0079388F">
        <w:t xml:space="preserve">providing always that withdrawal has been formally approved by a </w:t>
      </w:r>
      <w:r>
        <w:t>p</w:t>
      </w:r>
      <w:r w:rsidRPr="0079388F">
        <w:t xml:space="preserve">rincipal of the </w:t>
      </w:r>
      <w:r>
        <w:t>f</w:t>
      </w:r>
      <w:r w:rsidRPr="0079388F">
        <w:t xml:space="preserve">irm, or by an employee of the </w:t>
      </w:r>
      <w:r>
        <w:t>f</w:t>
      </w:r>
      <w:r w:rsidRPr="0079388F">
        <w:t xml:space="preserve">irm to whom authority in writing has been delegated from the </w:t>
      </w:r>
      <w:r>
        <w:t>p</w:t>
      </w:r>
      <w:r w:rsidRPr="0079388F">
        <w:t xml:space="preserve">rincipals of the </w:t>
      </w:r>
      <w:r>
        <w:t>f</w:t>
      </w:r>
      <w:r w:rsidRPr="0079388F">
        <w:t>irm.</w:t>
      </w:r>
    </w:p>
    <w:p w14:paraId="1A5E9A33" w14:textId="77777777" w:rsidR="00201995" w:rsidRPr="00201995" w:rsidRDefault="00201995" w:rsidP="00201995"/>
    <w:p w14:paraId="35EC6E84" w14:textId="211EB73A" w:rsidR="00BA3678" w:rsidRPr="006B2D3D" w:rsidRDefault="00BA3678" w:rsidP="00B65DC2">
      <w:pPr>
        <w:pStyle w:val="ICASBody"/>
      </w:pPr>
      <w:r w:rsidRPr="79F22B36">
        <w:t xml:space="preserve">Withdrawing fees from money held in a </w:t>
      </w:r>
      <w:r>
        <w:t>c</w:t>
      </w:r>
      <w:r w:rsidRPr="79F22B36">
        <w:t xml:space="preserve">lient </w:t>
      </w:r>
      <w:r>
        <w:t>b</w:t>
      </w:r>
      <w:r w:rsidRPr="79F22B36">
        <w:t xml:space="preserve">ank </w:t>
      </w:r>
      <w:r>
        <w:t>a</w:t>
      </w:r>
      <w:r w:rsidRPr="79F22B36">
        <w:t>ccount can lead to complaints against practitioners. One scenario in which a firms may not comply with the CMR is where the client receives a tax rebate, and the firm draws up a fee and withdraws funds immediately after.</w:t>
      </w:r>
    </w:p>
    <w:p w14:paraId="4A589C4A" w14:textId="77777777" w:rsidR="00BA3678" w:rsidRPr="006B2D3D" w:rsidRDefault="00BA3678" w:rsidP="00B65DC2">
      <w:pPr>
        <w:pStyle w:val="ICASBody"/>
      </w:pPr>
      <w:r w:rsidRPr="006B2D3D">
        <w:t xml:space="preserve">The fee cannot be taken unless one of the three requirements above has been met. </w:t>
      </w:r>
    </w:p>
    <w:p w14:paraId="447090A9" w14:textId="77777777" w:rsidR="00BA3678" w:rsidRDefault="00BA3678" w:rsidP="00B65DC2">
      <w:pPr>
        <w:pStyle w:val="ICASBody"/>
      </w:pPr>
      <w:r w:rsidRPr="006B2D3D">
        <w:t>It is also important to remember not to withdraw funds before the funds have been cleared by the bank.</w:t>
      </w:r>
    </w:p>
    <w:p w14:paraId="2D6A6BB4" w14:textId="77777777" w:rsidR="00BA3678" w:rsidRPr="00A23F8B" w:rsidRDefault="00BA3678" w:rsidP="00E77272">
      <w:pPr>
        <w:pStyle w:val="Heading3"/>
      </w:pPr>
      <w:r w:rsidRPr="00A23F8B">
        <w:t>Fees paid by standing order or direct debit</w:t>
      </w:r>
    </w:p>
    <w:p w14:paraId="66B296BB" w14:textId="77777777" w:rsidR="00BA3678" w:rsidRDefault="00BA3678" w:rsidP="00E77272">
      <w:pPr>
        <w:pStyle w:val="ICASBody"/>
      </w:pPr>
      <w:r>
        <w:t xml:space="preserve">Some firms offer clients the ability to pay fees in instalments either by way of standing order or direct debit. Where funds are received in advance of a fee being raised this is </w:t>
      </w:r>
      <w:r w:rsidRPr="00453011">
        <w:rPr>
          <w:b/>
          <w:bCs/>
        </w:rPr>
        <w:t>not</w:t>
      </w:r>
      <w:r>
        <w:t xml:space="preserve"> captured within the definition of clients’ money. I</w:t>
      </w:r>
      <w:r w:rsidRPr="00503B15">
        <w:t>t is acceptable to pay these amounts into the firm’s own account.</w:t>
      </w:r>
    </w:p>
    <w:p w14:paraId="6C4D6291" w14:textId="77777777" w:rsidR="00BA3678" w:rsidRPr="00A23F8B" w:rsidRDefault="00BA3678" w:rsidP="00E77272">
      <w:pPr>
        <w:pStyle w:val="Heading3"/>
      </w:pPr>
      <w:r w:rsidRPr="00A23F8B">
        <w:t>Client overpayments</w:t>
      </w:r>
    </w:p>
    <w:p w14:paraId="6FCB3E52" w14:textId="77777777" w:rsidR="00BA3678" w:rsidRPr="004258B5" w:rsidRDefault="00BA3678" w:rsidP="00E77272">
      <w:pPr>
        <w:pStyle w:val="ICASBody"/>
        <w:rPr>
          <w:u w:val="single"/>
        </w:rPr>
      </w:pPr>
      <w:r>
        <w:t xml:space="preserve">Any overpaid balance </w:t>
      </w:r>
      <w:r w:rsidRPr="004258B5">
        <w:t xml:space="preserve">should not </w:t>
      </w:r>
      <w:r>
        <w:t xml:space="preserve">be </w:t>
      </w:r>
      <w:r w:rsidRPr="004258B5">
        <w:t>ke</w:t>
      </w:r>
      <w:r>
        <w:t xml:space="preserve">pt </w:t>
      </w:r>
      <w:r w:rsidRPr="004258B5">
        <w:t xml:space="preserve">without </w:t>
      </w:r>
      <w:r>
        <w:t xml:space="preserve">the knowledge and consent of the client. Firms should have procedures in place </w:t>
      </w:r>
      <w:r w:rsidRPr="004258B5">
        <w:t>to identify such amounts within a reasonable time</w:t>
      </w:r>
      <w:r>
        <w:t xml:space="preserve">, </w:t>
      </w:r>
      <w:r w:rsidRPr="004258B5">
        <w:t xml:space="preserve">return the overpayment to the client immediately upon discovery; or if unable to do so, transfer the balance to the </w:t>
      </w:r>
      <w:r>
        <w:t xml:space="preserve">client bank account </w:t>
      </w:r>
      <w:r w:rsidRPr="004258B5">
        <w:t>and inform the client immediately.</w:t>
      </w:r>
    </w:p>
    <w:p w14:paraId="6322D47C" w14:textId="77777777" w:rsidR="00BA3678" w:rsidRDefault="00BA3678" w:rsidP="00E77272">
      <w:pPr>
        <w:pStyle w:val="Heading2"/>
      </w:pPr>
      <w:r>
        <w:t>Referral fees or c</w:t>
      </w:r>
      <w:r w:rsidRPr="00E951C2">
        <w:t xml:space="preserve">ommission payable to the </w:t>
      </w:r>
      <w:r>
        <w:t>f</w:t>
      </w:r>
      <w:r w:rsidRPr="00E951C2">
        <w:t>irm</w:t>
      </w:r>
    </w:p>
    <w:p w14:paraId="4A3E8D43" w14:textId="77777777" w:rsidR="00BA3678" w:rsidRDefault="00BA3678" w:rsidP="00E77272">
      <w:pPr>
        <w:pStyle w:val="ICASBody"/>
      </w:pPr>
      <w:r>
        <w:t>The CMR</w:t>
      </w:r>
      <w:r w:rsidRPr="00E951C2">
        <w:t xml:space="preserve"> </w:t>
      </w:r>
      <w:r>
        <w:t xml:space="preserve">sets out </w:t>
      </w:r>
      <w:r w:rsidRPr="00E951C2">
        <w:t xml:space="preserve">treatment </w:t>
      </w:r>
      <w:r>
        <w:t xml:space="preserve">relating to the </w:t>
      </w:r>
      <w:r w:rsidRPr="00E951C2">
        <w:t xml:space="preserve">withdrawal of fees from monies held in a </w:t>
      </w:r>
      <w:r>
        <w:t>c</w:t>
      </w:r>
      <w:r w:rsidRPr="00E951C2">
        <w:t xml:space="preserve">lient </w:t>
      </w:r>
      <w:r>
        <w:t>b</w:t>
      </w:r>
      <w:r w:rsidRPr="00E951C2">
        <w:t xml:space="preserve">ank </w:t>
      </w:r>
      <w:r>
        <w:t>ac</w:t>
      </w:r>
      <w:r w:rsidRPr="00E951C2">
        <w:t>count</w:t>
      </w:r>
      <w:r>
        <w:t xml:space="preserve">. The CMR do not deal with referral fees or </w:t>
      </w:r>
      <w:r w:rsidRPr="00E951C2">
        <w:t>commissions receiv</w:t>
      </w:r>
      <w:r>
        <w:t xml:space="preserve">able </w:t>
      </w:r>
      <w:r w:rsidRPr="00E951C2">
        <w:t xml:space="preserve">by the </w:t>
      </w:r>
      <w:r>
        <w:t>f</w:t>
      </w:r>
      <w:r w:rsidRPr="00E951C2">
        <w:t xml:space="preserve">irm. </w:t>
      </w:r>
    </w:p>
    <w:p w14:paraId="5CBE129D" w14:textId="77777777" w:rsidR="00BA3678" w:rsidRDefault="00BA3678" w:rsidP="00E77272">
      <w:pPr>
        <w:pStyle w:val="ICASBody"/>
      </w:pPr>
      <w:r w:rsidRPr="00E951C2">
        <w:t>In this respect, the attention of members is drawn to</w:t>
      </w:r>
      <w:r>
        <w:t xml:space="preserve"> paragraph R 330.5A and associated application material in paragraphs 330.5 A1 and 330.5 A2 of the </w:t>
      </w:r>
      <w:hyperlink r:id="rId13" w:history="1">
        <w:r w:rsidRPr="00AD0456">
          <w:rPr>
            <w:rStyle w:val="Hyperlink"/>
          </w:rPr>
          <w:t>ICAS Code of Ethics</w:t>
        </w:r>
      </w:hyperlink>
      <w:r w:rsidRPr="00E951C2">
        <w:t>.</w:t>
      </w:r>
    </w:p>
    <w:p w14:paraId="02DCF19F" w14:textId="77777777" w:rsidR="00BA3678" w:rsidRPr="00E951C2" w:rsidRDefault="00BA3678" w:rsidP="00E77272">
      <w:pPr>
        <w:pStyle w:val="ICASBody"/>
        <w:rPr>
          <w:b/>
          <w:bCs/>
          <w:sz w:val="22"/>
          <w:szCs w:val="22"/>
        </w:rPr>
      </w:pPr>
      <w:r>
        <w:t xml:space="preserve">Any element of referral fee or commission included within money paid into a client bank account should only be withdrawn where the </w:t>
      </w:r>
      <w:r w:rsidRPr="00F66C1B">
        <w:t>explicit written</w:t>
      </w:r>
      <w:r>
        <w:t xml:space="preserve"> </w:t>
      </w:r>
      <w:r w:rsidRPr="00F66C1B">
        <w:t>consent from the client to retain the commission</w:t>
      </w:r>
      <w:r>
        <w:t xml:space="preserve"> has been obtained in accordance with the ICAS Code of Ethics (see section R 330.5A).</w:t>
      </w:r>
    </w:p>
    <w:p w14:paraId="712E1968" w14:textId="77777777" w:rsidR="00BA3678" w:rsidRDefault="00BA3678" w:rsidP="00E77272">
      <w:pPr>
        <w:pStyle w:val="Heading2"/>
      </w:pPr>
      <w:r>
        <w:t>Foreign currency funds</w:t>
      </w:r>
    </w:p>
    <w:p w14:paraId="109190EA" w14:textId="77777777" w:rsidR="00BA3678" w:rsidRDefault="00BA3678" w:rsidP="00E77272">
      <w:pPr>
        <w:pStyle w:val="ICASBody"/>
      </w:pPr>
      <w:r w:rsidRPr="00464BB8">
        <w:t>The CMR requires all funds to be held in the currency in which it was received unless the client has instructed otherwise. The client’s instructions must be recorded formally and therefore all instructions should be in writing from the client.</w:t>
      </w:r>
    </w:p>
    <w:p w14:paraId="3B711B3A" w14:textId="77777777" w:rsidR="00BA3678" w:rsidRDefault="00BA3678" w:rsidP="00E77272">
      <w:pPr>
        <w:pStyle w:val="ICASBody"/>
      </w:pPr>
      <w:r>
        <w:t xml:space="preserve">Care will be required where funds are expected to be received from a foreign jurisdiction. The client must have provided written confirmation that it is acceptable for the funds to be received into a GBP bank account prior to the bank account details being provided to the other party to carry out the transfer unless there is evidence that the other party </w:t>
      </w:r>
      <w:proofErr w:type="gramStart"/>
      <w:r>
        <w:t>is in agreement</w:t>
      </w:r>
      <w:proofErr w:type="gramEnd"/>
      <w:r>
        <w:t xml:space="preserve"> that funds will be transferred in GBP.</w:t>
      </w:r>
    </w:p>
    <w:p w14:paraId="7D2E5F13" w14:textId="77777777" w:rsidR="00BA3678" w:rsidRPr="00464BB8" w:rsidRDefault="00BA3678" w:rsidP="00E77272">
      <w:pPr>
        <w:pStyle w:val="ICASBody"/>
      </w:pPr>
      <w:r>
        <w:t>Client instructions will also require to be obtained prior to receiving cryptocurrencies, virtual currencies or digital currencies.</w:t>
      </w:r>
    </w:p>
    <w:p w14:paraId="77026864" w14:textId="77777777" w:rsidR="00BA3678" w:rsidRDefault="00BA3678" w:rsidP="00E77272">
      <w:pPr>
        <w:pStyle w:val="Heading2"/>
      </w:pPr>
      <w:bookmarkStart w:id="0" w:name="InterestPayableonClientMoney"/>
      <w:r>
        <w:lastRenderedPageBreak/>
        <w:t>Interest payable on client money</w:t>
      </w:r>
      <w:bookmarkEnd w:id="0"/>
    </w:p>
    <w:p w14:paraId="326BB459" w14:textId="77777777" w:rsidR="00BA3678" w:rsidRDefault="00BA3678" w:rsidP="00E77272">
      <w:pPr>
        <w:pStyle w:val="ICASBody"/>
      </w:pPr>
      <w:r w:rsidRPr="006A5AEF">
        <w:t xml:space="preserve">Money should not be held in a </w:t>
      </w:r>
      <w:r>
        <w:t xml:space="preserve">client bank account </w:t>
      </w:r>
      <w:r w:rsidRPr="006A5AEF">
        <w:t>for longer tha</w:t>
      </w:r>
      <w:r>
        <w:t>n</w:t>
      </w:r>
      <w:r w:rsidRPr="006A5AEF">
        <w:t xml:space="preserve"> is necessary and if there is no longer a reason to retain the funds they should be ret</w:t>
      </w:r>
      <w:r>
        <w:t xml:space="preserve">urned </w:t>
      </w:r>
      <w:r w:rsidRPr="006A5AEF">
        <w:t xml:space="preserve">promptly to the client. </w:t>
      </w:r>
    </w:p>
    <w:p w14:paraId="68F28316" w14:textId="77777777" w:rsidR="00BA3678" w:rsidRDefault="00BA3678" w:rsidP="00E77272">
      <w:pPr>
        <w:pStyle w:val="ICASBody"/>
      </w:pPr>
      <w:r>
        <w:t>Although the default requirement of the CMR is that c</w:t>
      </w:r>
      <w:r w:rsidRPr="00AC6D91">
        <w:t xml:space="preserve">lient </w:t>
      </w:r>
      <w:r>
        <w:t>m</w:t>
      </w:r>
      <w:r w:rsidRPr="00AC6D91">
        <w:t xml:space="preserve">oney </w:t>
      </w:r>
      <w:r>
        <w:t xml:space="preserve">is required to </w:t>
      </w:r>
      <w:r w:rsidRPr="00AC6D91">
        <w:t xml:space="preserve">be placed in an interest-bearing account, ensuring an appropriate rate of interest on the money is earned, </w:t>
      </w:r>
      <w:r>
        <w:t xml:space="preserve">this is not necessary where </w:t>
      </w:r>
      <w:r w:rsidRPr="00AC6D91">
        <w:t xml:space="preserve">the interest earned would not be material. </w:t>
      </w:r>
    </w:p>
    <w:p w14:paraId="3A9BCB25" w14:textId="77777777" w:rsidR="00BA3678" w:rsidRDefault="00BA3678" w:rsidP="00E77272">
      <w:pPr>
        <w:pStyle w:val="ICASBody"/>
      </w:pPr>
      <w:r>
        <w:t xml:space="preserve">Given the consistently low rates of interest in recent years, it is likely that in most circumstances interest earned will not be material. It is therefore acceptable currently for the client bank account to be non-interest bearing. </w:t>
      </w:r>
    </w:p>
    <w:p w14:paraId="05CD105A" w14:textId="77777777" w:rsidR="00BA3678" w:rsidRDefault="00BA3678" w:rsidP="00E77272">
      <w:pPr>
        <w:pStyle w:val="ICASBody"/>
      </w:pPr>
      <w:r>
        <w:t xml:space="preserve">The firm must however have procedures in place to identify circumstances where it may be appropriate for client money to be placed in an account where interest is earned. </w:t>
      </w:r>
      <w:r w:rsidRPr="0088434C">
        <w:t xml:space="preserve">As the </w:t>
      </w:r>
      <w:r>
        <w:t>f</w:t>
      </w:r>
      <w:r w:rsidRPr="0088434C">
        <w:t>irm may be called upon to justify decision</w:t>
      </w:r>
      <w:r>
        <w:t>s on whether interest is likely to be material</w:t>
      </w:r>
      <w:r w:rsidRPr="0088434C">
        <w:t>, it is recommended that determinations of whether interest is material be periodically recorded</w:t>
      </w:r>
      <w:r>
        <w:t>.</w:t>
      </w:r>
    </w:p>
    <w:p w14:paraId="26F9123B" w14:textId="2C80F4F2" w:rsidR="00BA3678" w:rsidRPr="00D55152" w:rsidRDefault="00BA3678" w:rsidP="00E77272">
      <w:pPr>
        <w:pStyle w:val="ICASBody"/>
      </w:pPr>
      <w:r>
        <w:t xml:space="preserve">To assist firms in their assessment of whether interest is likely to be material the following tables can be used as a guide. </w:t>
      </w:r>
      <w:r w:rsidRPr="00D55152">
        <w:t xml:space="preserve">The obligation </w:t>
      </w:r>
      <w:r>
        <w:t xml:space="preserve">remains on </w:t>
      </w:r>
      <w:r w:rsidRPr="00D55152">
        <w:t>the firm to take reasonable steps to ensure</w:t>
      </w:r>
      <w:r>
        <w:t xml:space="preserve"> </w:t>
      </w:r>
      <w:r w:rsidRPr="00D55152">
        <w:t>that the client does not lose material sums of interest because the money remains in low</w:t>
      </w:r>
      <w:r>
        <w:t xml:space="preserve"> </w:t>
      </w:r>
      <w:r w:rsidRPr="00D55152">
        <w:t>or non-</w:t>
      </w:r>
      <w:r w:rsidR="00DC605C" w:rsidRPr="00D55152">
        <w:t>interest-bearing</w:t>
      </w:r>
      <w:r w:rsidRPr="00D55152">
        <w:t xml:space="preserve"> accounts. There may be circumstances, for example, where</w:t>
      </w:r>
      <w:r>
        <w:t xml:space="preserve"> </w:t>
      </w:r>
      <w:r w:rsidRPr="00D55152">
        <w:t>money should be placed on overnight deposit.</w:t>
      </w:r>
    </w:p>
    <w:p w14:paraId="3C3D2A7D" w14:textId="77777777" w:rsidR="00BA3678" w:rsidRDefault="00BA3678" w:rsidP="00E77272">
      <w:pPr>
        <w:pStyle w:val="ICASBody"/>
      </w:pPr>
      <w:r w:rsidRPr="00D55152">
        <w:t>The fair rate of interest earned must be at least the minimum deposit rate offered</w:t>
      </w:r>
      <w:r>
        <w:t xml:space="preserve"> </w:t>
      </w:r>
      <w:r w:rsidRPr="00D55152">
        <w:t>publicly by a bank for small deposits.</w:t>
      </w:r>
      <w:r>
        <w:t xml:space="preserve"> </w:t>
      </w:r>
    </w:p>
    <w:p w14:paraId="1193DB13" w14:textId="77777777" w:rsidR="00BA3678" w:rsidRDefault="00BA3678" w:rsidP="00E77272">
      <w:pPr>
        <w:pStyle w:val="ICASBody"/>
      </w:pPr>
      <w:r>
        <w:t>Where c</w:t>
      </w:r>
      <w:r w:rsidRPr="00AB4834">
        <w:t xml:space="preserve">lients’ </w:t>
      </w:r>
      <w:r>
        <w:t>m</w:t>
      </w:r>
      <w:r w:rsidRPr="00AB4834">
        <w:t xml:space="preserve">oney </w:t>
      </w:r>
      <w:r>
        <w:t xml:space="preserve">is </w:t>
      </w:r>
      <w:r w:rsidRPr="00AB4834">
        <w:t>received by way of cheque</w:t>
      </w:r>
      <w:r>
        <w:t xml:space="preserve">, consideration of whether interest is likely to be material can </w:t>
      </w:r>
      <w:r w:rsidRPr="00AB4834">
        <w:t xml:space="preserve">be calculated either from the day </w:t>
      </w:r>
      <w:r>
        <w:t xml:space="preserve">the cheque is </w:t>
      </w:r>
      <w:r w:rsidRPr="00AB4834">
        <w:t xml:space="preserve">received or </w:t>
      </w:r>
      <w:r>
        <w:t>when it is cleared</w:t>
      </w:r>
      <w:r w:rsidRPr="00AB4834">
        <w:t xml:space="preserve">. </w:t>
      </w:r>
      <w:r>
        <w:t>For the purposes of calculations b</w:t>
      </w:r>
      <w:r w:rsidRPr="00AB4834">
        <w:t xml:space="preserve">oth payments and withdrawals must be treated in the same way. If the </w:t>
      </w:r>
      <w:r>
        <w:t>f</w:t>
      </w:r>
      <w:r w:rsidRPr="00AB4834">
        <w:t xml:space="preserve">irm chooses to credit interest from the date the cheque is cleared and wants to include interest in a payment to a client, it should assume that the cheque will clear on the </w:t>
      </w:r>
      <w:r>
        <w:t xml:space="preserve">third </w:t>
      </w:r>
      <w:r w:rsidRPr="00AB4834">
        <w:t>business day after the cheque is sent to the client.</w:t>
      </w:r>
    </w:p>
    <w:p w14:paraId="70481D53" w14:textId="0B610283" w:rsidR="00BA3678" w:rsidRPr="00D55152" w:rsidRDefault="00BA3678" w:rsidP="00E77272">
      <w:pPr>
        <w:pStyle w:val="ICASBody"/>
      </w:pPr>
      <w:r w:rsidRPr="79F22B36">
        <w:t xml:space="preserve">Interest would be considered material if the money is likely to be held for at least the number of weeks shown in the left-hand column of the following table and the minimum credit balance of the client equals or is more than the sum in the </w:t>
      </w:r>
      <w:r w:rsidR="0029639D" w:rsidRPr="79F22B36">
        <w:t>right-hand</w:t>
      </w:r>
      <w:r w:rsidRPr="79F22B36">
        <w:t xml:space="preserve"> column.</w:t>
      </w:r>
    </w:p>
    <w:tbl>
      <w:tblPr>
        <w:tblStyle w:val="TableGrid"/>
        <w:tblW w:w="0" w:type="auto"/>
        <w:tblInd w:w="108" w:type="dxa"/>
        <w:tblLook w:val="04A0" w:firstRow="1" w:lastRow="0" w:firstColumn="1" w:lastColumn="0" w:noHBand="0" w:noVBand="1"/>
      </w:tblPr>
      <w:tblGrid>
        <w:gridCol w:w="1985"/>
        <w:gridCol w:w="1984"/>
        <w:gridCol w:w="1134"/>
        <w:gridCol w:w="1985"/>
        <w:gridCol w:w="1984"/>
      </w:tblGrid>
      <w:tr w:rsidR="00682254" w14:paraId="0BD0D370" w14:textId="77777777" w:rsidTr="008F1AF9">
        <w:tc>
          <w:tcPr>
            <w:tcW w:w="3969" w:type="dxa"/>
            <w:gridSpan w:val="2"/>
          </w:tcPr>
          <w:p w14:paraId="3D612832" w14:textId="39A39BCD" w:rsidR="00682254" w:rsidRDefault="00682254" w:rsidP="00E77272">
            <w:pPr>
              <w:pStyle w:val="ICASBody"/>
              <w:rPr>
                <w:b/>
                <w:bCs/>
              </w:rPr>
            </w:pPr>
            <w:r>
              <w:rPr>
                <w:b/>
                <w:bCs/>
              </w:rPr>
              <w:t>Interest</w:t>
            </w:r>
            <w:r w:rsidRPr="006C193C">
              <w:rPr>
                <w:b/>
                <w:bCs/>
              </w:rPr>
              <w:t xml:space="preserve"> rate &lt;0.25%</w:t>
            </w:r>
          </w:p>
        </w:tc>
        <w:tc>
          <w:tcPr>
            <w:tcW w:w="1134" w:type="dxa"/>
            <w:tcBorders>
              <w:top w:val="nil"/>
              <w:bottom w:val="nil"/>
            </w:tcBorders>
          </w:tcPr>
          <w:p w14:paraId="534FE5D9" w14:textId="77777777" w:rsidR="00682254" w:rsidRDefault="00682254" w:rsidP="00E77272">
            <w:pPr>
              <w:pStyle w:val="ICASBody"/>
              <w:rPr>
                <w:b/>
                <w:bCs/>
              </w:rPr>
            </w:pPr>
          </w:p>
        </w:tc>
        <w:tc>
          <w:tcPr>
            <w:tcW w:w="3969" w:type="dxa"/>
            <w:gridSpan w:val="2"/>
          </w:tcPr>
          <w:p w14:paraId="771F6E21" w14:textId="12505C28" w:rsidR="00682254" w:rsidRDefault="00682254" w:rsidP="00E77272">
            <w:pPr>
              <w:pStyle w:val="ICASBody"/>
              <w:rPr>
                <w:b/>
                <w:bCs/>
              </w:rPr>
            </w:pPr>
            <w:r>
              <w:rPr>
                <w:b/>
                <w:bCs/>
              </w:rPr>
              <w:t>Interest</w:t>
            </w:r>
            <w:r w:rsidRPr="006C193C">
              <w:rPr>
                <w:b/>
                <w:bCs/>
              </w:rPr>
              <w:t xml:space="preserve"> rate 0.25%</w:t>
            </w:r>
            <w:r>
              <w:rPr>
                <w:b/>
                <w:bCs/>
              </w:rPr>
              <w:t xml:space="preserve"> - 0.5%</w:t>
            </w:r>
          </w:p>
        </w:tc>
      </w:tr>
      <w:tr w:rsidR="00682254" w14:paraId="20AF2010" w14:textId="77777777" w:rsidTr="008F1AF9">
        <w:tc>
          <w:tcPr>
            <w:tcW w:w="1985" w:type="dxa"/>
          </w:tcPr>
          <w:p w14:paraId="654C3572" w14:textId="2BD66281" w:rsidR="00682254" w:rsidRDefault="00682254" w:rsidP="000550BE">
            <w:pPr>
              <w:pStyle w:val="ICASBody"/>
              <w:jc w:val="center"/>
              <w:rPr>
                <w:b/>
                <w:bCs/>
              </w:rPr>
            </w:pPr>
            <w:r>
              <w:rPr>
                <w:b/>
                <w:bCs/>
              </w:rPr>
              <w:t>Number of weeks</w:t>
            </w:r>
          </w:p>
        </w:tc>
        <w:tc>
          <w:tcPr>
            <w:tcW w:w="1984" w:type="dxa"/>
          </w:tcPr>
          <w:p w14:paraId="37AB3460" w14:textId="7A6A21B2" w:rsidR="00682254" w:rsidRDefault="00682254" w:rsidP="000550BE">
            <w:pPr>
              <w:pStyle w:val="ICASBody"/>
              <w:jc w:val="center"/>
              <w:rPr>
                <w:b/>
                <w:bCs/>
              </w:rPr>
            </w:pPr>
            <w:r>
              <w:rPr>
                <w:b/>
                <w:bCs/>
              </w:rPr>
              <w:t>Minimum balance</w:t>
            </w:r>
          </w:p>
        </w:tc>
        <w:tc>
          <w:tcPr>
            <w:tcW w:w="1134" w:type="dxa"/>
            <w:tcBorders>
              <w:top w:val="nil"/>
              <w:bottom w:val="nil"/>
            </w:tcBorders>
          </w:tcPr>
          <w:p w14:paraId="3E05182C" w14:textId="77777777" w:rsidR="00682254" w:rsidRDefault="00682254" w:rsidP="000550BE">
            <w:pPr>
              <w:pStyle w:val="ICASBody"/>
              <w:jc w:val="center"/>
              <w:rPr>
                <w:b/>
                <w:bCs/>
              </w:rPr>
            </w:pPr>
          </w:p>
        </w:tc>
        <w:tc>
          <w:tcPr>
            <w:tcW w:w="1985" w:type="dxa"/>
          </w:tcPr>
          <w:p w14:paraId="647D2CE5" w14:textId="3438BF54" w:rsidR="00682254" w:rsidRDefault="00682254" w:rsidP="000550BE">
            <w:pPr>
              <w:pStyle w:val="ICASBody"/>
              <w:jc w:val="center"/>
              <w:rPr>
                <w:b/>
                <w:bCs/>
              </w:rPr>
            </w:pPr>
            <w:r>
              <w:rPr>
                <w:b/>
                <w:bCs/>
              </w:rPr>
              <w:t>Number of weeks</w:t>
            </w:r>
          </w:p>
        </w:tc>
        <w:tc>
          <w:tcPr>
            <w:tcW w:w="1984" w:type="dxa"/>
          </w:tcPr>
          <w:p w14:paraId="31303006" w14:textId="0010BDC8" w:rsidR="00682254" w:rsidRDefault="00682254" w:rsidP="000550BE">
            <w:pPr>
              <w:pStyle w:val="ICASBody"/>
              <w:jc w:val="center"/>
              <w:rPr>
                <w:b/>
                <w:bCs/>
              </w:rPr>
            </w:pPr>
            <w:r>
              <w:rPr>
                <w:b/>
                <w:bCs/>
              </w:rPr>
              <w:t>Minimum balance</w:t>
            </w:r>
          </w:p>
        </w:tc>
      </w:tr>
      <w:tr w:rsidR="00682254" w14:paraId="3DBA6022" w14:textId="77777777" w:rsidTr="008F1AF9">
        <w:tc>
          <w:tcPr>
            <w:tcW w:w="1985" w:type="dxa"/>
          </w:tcPr>
          <w:p w14:paraId="796DBD08" w14:textId="48DED759" w:rsidR="00682254" w:rsidRPr="001C3193" w:rsidRDefault="00682254" w:rsidP="000550BE">
            <w:pPr>
              <w:pStyle w:val="ICASBody"/>
              <w:jc w:val="center"/>
            </w:pPr>
            <w:r w:rsidRPr="001C3193">
              <w:t>8</w:t>
            </w:r>
          </w:p>
        </w:tc>
        <w:tc>
          <w:tcPr>
            <w:tcW w:w="1984" w:type="dxa"/>
          </w:tcPr>
          <w:p w14:paraId="01F9D718" w14:textId="74FA0372" w:rsidR="00682254" w:rsidRPr="001C3193" w:rsidRDefault="007A2393" w:rsidP="000550BE">
            <w:pPr>
              <w:pStyle w:val="ICASBody"/>
              <w:jc w:val="center"/>
            </w:pPr>
            <w:r w:rsidRPr="001C3193">
              <w:t>£10,000</w:t>
            </w:r>
          </w:p>
        </w:tc>
        <w:tc>
          <w:tcPr>
            <w:tcW w:w="1134" w:type="dxa"/>
            <w:tcBorders>
              <w:top w:val="nil"/>
              <w:bottom w:val="nil"/>
            </w:tcBorders>
          </w:tcPr>
          <w:p w14:paraId="68BD5882" w14:textId="77777777" w:rsidR="00682254" w:rsidRPr="001C3193" w:rsidRDefault="00682254" w:rsidP="000550BE">
            <w:pPr>
              <w:pStyle w:val="ICASBody"/>
              <w:jc w:val="center"/>
            </w:pPr>
          </w:p>
        </w:tc>
        <w:tc>
          <w:tcPr>
            <w:tcW w:w="1985" w:type="dxa"/>
          </w:tcPr>
          <w:p w14:paraId="42F95430" w14:textId="12B97F27" w:rsidR="00682254" w:rsidRPr="001C3193" w:rsidRDefault="00720BDB" w:rsidP="000550BE">
            <w:pPr>
              <w:pStyle w:val="ICASBody"/>
              <w:jc w:val="center"/>
            </w:pPr>
            <w:r w:rsidRPr="001C3193">
              <w:t>8</w:t>
            </w:r>
          </w:p>
        </w:tc>
        <w:tc>
          <w:tcPr>
            <w:tcW w:w="1984" w:type="dxa"/>
          </w:tcPr>
          <w:p w14:paraId="721F8190" w14:textId="491AB0D8" w:rsidR="00682254" w:rsidRPr="001C3193" w:rsidRDefault="007A2393" w:rsidP="000550BE">
            <w:pPr>
              <w:pStyle w:val="ICASBody"/>
              <w:jc w:val="center"/>
            </w:pPr>
            <w:r w:rsidRPr="001C3193">
              <w:t>£4,000</w:t>
            </w:r>
          </w:p>
        </w:tc>
      </w:tr>
      <w:tr w:rsidR="00682254" w14:paraId="166F7D36" w14:textId="77777777" w:rsidTr="008F1AF9">
        <w:tc>
          <w:tcPr>
            <w:tcW w:w="1985" w:type="dxa"/>
          </w:tcPr>
          <w:p w14:paraId="3206C4B4" w14:textId="27F840FC" w:rsidR="00682254" w:rsidRPr="001C3193" w:rsidRDefault="00682254" w:rsidP="000550BE">
            <w:pPr>
              <w:pStyle w:val="ICASBody"/>
              <w:jc w:val="center"/>
            </w:pPr>
            <w:r w:rsidRPr="001C3193">
              <w:t>6</w:t>
            </w:r>
          </w:p>
        </w:tc>
        <w:tc>
          <w:tcPr>
            <w:tcW w:w="1984" w:type="dxa"/>
          </w:tcPr>
          <w:p w14:paraId="48B50AC0" w14:textId="78EE6CF8" w:rsidR="00682254" w:rsidRPr="001C3193" w:rsidRDefault="007A2393" w:rsidP="000550BE">
            <w:pPr>
              <w:pStyle w:val="ICASBody"/>
              <w:jc w:val="center"/>
            </w:pPr>
            <w:r w:rsidRPr="001C3193">
              <w:t>£15,000</w:t>
            </w:r>
          </w:p>
        </w:tc>
        <w:tc>
          <w:tcPr>
            <w:tcW w:w="1134" w:type="dxa"/>
            <w:tcBorders>
              <w:top w:val="nil"/>
              <w:bottom w:val="nil"/>
            </w:tcBorders>
          </w:tcPr>
          <w:p w14:paraId="646A4E06" w14:textId="77777777" w:rsidR="00682254" w:rsidRPr="001C3193" w:rsidRDefault="00682254" w:rsidP="000550BE">
            <w:pPr>
              <w:pStyle w:val="ICASBody"/>
              <w:jc w:val="center"/>
            </w:pPr>
          </w:p>
        </w:tc>
        <w:tc>
          <w:tcPr>
            <w:tcW w:w="1985" w:type="dxa"/>
          </w:tcPr>
          <w:p w14:paraId="5D403A0F" w14:textId="714FAD54" w:rsidR="00682254" w:rsidRPr="001C3193" w:rsidRDefault="00720BDB" w:rsidP="000550BE">
            <w:pPr>
              <w:pStyle w:val="ICASBody"/>
              <w:jc w:val="center"/>
            </w:pPr>
            <w:r w:rsidRPr="001C3193">
              <w:t>6</w:t>
            </w:r>
          </w:p>
        </w:tc>
        <w:tc>
          <w:tcPr>
            <w:tcW w:w="1984" w:type="dxa"/>
          </w:tcPr>
          <w:p w14:paraId="04003149" w14:textId="5628905D" w:rsidR="00682254" w:rsidRPr="001C3193" w:rsidRDefault="007A2393" w:rsidP="000550BE">
            <w:pPr>
              <w:pStyle w:val="ICASBody"/>
              <w:jc w:val="center"/>
            </w:pPr>
            <w:r w:rsidRPr="001C3193">
              <w:t>£5,000</w:t>
            </w:r>
          </w:p>
        </w:tc>
      </w:tr>
      <w:tr w:rsidR="00682254" w14:paraId="2F359A53" w14:textId="77777777" w:rsidTr="008F1AF9">
        <w:tc>
          <w:tcPr>
            <w:tcW w:w="1985" w:type="dxa"/>
          </w:tcPr>
          <w:p w14:paraId="4E23433A" w14:textId="79E1BA3E" w:rsidR="00682254" w:rsidRPr="001C3193" w:rsidRDefault="00682254" w:rsidP="000550BE">
            <w:pPr>
              <w:pStyle w:val="ICASBody"/>
              <w:jc w:val="center"/>
            </w:pPr>
            <w:r w:rsidRPr="001C3193">
              <w:t>4</w:t>
            </w:r>
          </w:p>
        </w:tc>
        <w:tc>
          <w:tcPr>
            <w:tcW w:w="1984" w:type="dxa"/>
          </w:tcPr>
          <w:p w14:paraId="39D6F444" w14:textId="03107B53" w:rsidR="00682254" w:rsidRPr="001C3193" w:rsidRDefault="007A2393" w:rsidP="000550BE">
            <w:pPr>
              <w:pStyle w:val="ICASBody"/>
              <w:jc w:val="center"/>
            </w:pPr>
            <w:r w:rsidRPr="001C3193">
              <w:t>£20,000</w:t>
            </w:r>
          </w:p>
        </w:tc>
        <w:tc>
          <w:tcPr>
            <w:tcW w:w="1134" w:type="dxa"/>
            <w:tcBorders>
              <w:top w:val="nil"/>
              <w:bottom w:val="nil"/>
            </w:tcBorders>
          </w:tcPr>
          <w:p w14:paraId="0665B9A3" w14:textId="77777777" w:rsidR="00682254" w:rsidRPr="001C3193" w:rsidRDefault="00682254" w:rsidP="000550BE">
            <w:pPr>
              <w:pStyle w:val="ICASBody"/>
              <w:jc w:val="center"/>
            </w:pPr>
          </w:p>
        </w:tc>
        <w:tc>
          <w:tcPr>
            <w:tcW w:w="1985" w:type="dxa"/>
          </w:tcPr>
          <w:p w14:paraId="078F4908" w14:textId="337CB534" w:rsidR="00682254" w:rsidRPr="001C3193" w:rsidRDefault="00720BDB" w:rsidP="000550BE">
            <w:pPr>
              <w:pStyle w:val="ICASBody"/>
              <w:jc w:val="center"/>
            </w:pPr>
            <w:r w:rsidRPr="001C3193">
              <w:t>4</w:t>
            </w:r>
          </w:p>
        </w:tc>
        <w:tc>
          <w:tcPr>
            <w:tcW w:w="1984" w:type="dxa"/>
          </w:tcPr>
          <w:p w14:paraId="1EF16ED5" w14:textId="34D5B01F" w:rsidR="00682254" w:rsidRPr="001C3193" w:rsidRDefault="007A2393" w:rsidP="000550BE">
            <w:pPr>
              <w:pStyle w:val="ICASBody"/>
              <w:jc w:val="center"/>
            </w:pPr>
            <w:r w:rsidRPr="001C3193">
              <w:t>£10,000</w:t>
            </w:r>
          </w:p>
        </w:tc>
      </w:tr>
      <w:tr w:rsidR="00682254" w14:paraId="43B24CE8" w14:textId="77777777" w:rsidTr="008F1AF9">
        <w:tc>
          <w:tcPr>
            <w:tcW w:w="1985" w:type="dxa"/>
          </w:tcPr>
          <w:p w14:paraId="366E3DCA" w14:textId="63B2CD4A" w:rsidR="00682254" w:rsidRPr="001C3193" w:rsidRDefault="00682254" w:rsidP="000550BE">
            <w:pPr>
              <w:pStyle w:val="ICASBody"/>
              <w:jc w:val="center"/>
            </w:pPr>
            <w:r w:rsidRPr="001C3193">
              <w:t>2</w:t>
            </w:r>
          </w:p>
        </w:tc>
        <w:tc>
          <w:tcPr>
            <w:tcW w:w="1984" w:type="dxa"/>
          </w:tcPr>
          <w:p w14:paraId="3E454DD8" w14:textId="569A4454" w:rsidR="00682254" w:rsidRPr="001C3193" w:rsidRDefault="007A2393" w:rsidP="000550BE">
            <w:pPr>
              <w:pStyle w:val="ICASBody"/>
              <w:jc w:val="center"/>
            </w:pPr>
            <w:r w:rsidRPr="001C3193">
              <w:t>£40,000</w:t>
            </w:r>
          </w:p>
        </w:tc>
        <w:tc>
          <w:tcPr>
            <w:tcW w:w="1134" w:type="dxa"/>
            <w:tcBorders>
              <w:top w:val="nil"/>
              <w:bottom w:val="nil"/>
            </w:tcBorders>
          </w:tcPr>
          <w:p w14:paraId="03C81AAF" w14:textId="77777777" w:rsidR="00682254" w:rsidRPr="001C3193" w:rsidRDefault="00682254" w:rsidP="000550BE">
            <w:pPr>
              <w:pStyle w:val="ICASBody"/>
              <w:jc w:val="center"/>
            </w:pPr>
          </w:p>
        </w:tc>
        <w:tc>
          <w:tcPr>
            <w:tcW w:w="1985" w:type="dxa"/>
          </w:tcPr>
          <w:p w14:paraId="2EB45C6E" w14:textId="52405235" w:rsidR="00682254" w:rsidRPr="001C3193" w:rsidRDefault="00720BDB" w:rsidP="000550BE">
            <w:pPr>
              <w:pStyle w:val="ICASBody"/>
              <w:jc w:val="center"/>
            </w:pPr>
            <w:r w:rsidRPr="001C3193">
              <w:t>2</w:t>
            </w:r>
          </w:p>
        </w:tc>
        <w:tc>
          <w:tcPr>
            <w:tcW w:w="1984" w:type="dxa"/>
          </w:tcPr>
          <w:p w14:paraId="584AABEB" w14:textId="44D4B006" w:rsidR="00682254" w:rsidRPr="001C3193" w:rsidRDefault="007A2393" w:rsidP="000550BE">
            <w:pPr>
              <w:pStyle w:val="ICASBody"/>
              <w:jc w:val="center"/>
            </w:pPr>
            <w:r w:rsidRPr="001C3193">
              <w:t>£15,000</w:t>
            </w:r>
          </w:p>
        </w:tc>
      </w:tr>
    </w:tbl>
    <w:p w14:paraId="12842AA1" w14:textId="0A5A2E3F" w:rsidR="00C0120A" w:rsidRDefault="00C0120A" w:rsidP="00E77272">
      <w:pPr>
        <w:pStyle w:val="ICASBody"/>
        <w:rPr>
          <w:b/>
          <w:bCs/>
        </w:rPr>
      </w:pPr>
    </w:p>
    <w:p w14:paraId="40ACE9A6" w14:textId="77777777" w:rsidR="00C0120A" w:rsidRDefault="00C0120A">
      <w:pPr>
        <w:rPr>
          <w:rFonts w:ascii="Arial" w:hAnsi="Arial" w:cs="Arial"/>
          <w:b/>
          <w:bCs/>
          <w:color w:val="000000"/>
          <w:sz w:val="20"/>
          <w:szCs w:val="20"/>
        </w:rPr>
      </w:pPr>
      <w:r>
        <w:rPr>
          <w:b/>
          <w:bCs/>
        </w:rPr>
        <w:br w:type="page"/>
      </w:r>
    </w:p>
    <w:p w14:paraId="58AD45C3" w14:textId="77777777" w:rsidR="00A35E38" w:rsidRDefault="00A35E38" w:rsidP="00E77272">
      <w:pPr>
        <w:pStyle w:val="ICASBody"/>
        <w:rPr>
          <w:b/>
          <w:bCs/>
        </w:rPr>
      </w:pPr>
    </w:p>
    <w:tbl>
      <w:tblPr>
        <w:tblStyle w:val="TableGrid"/>
        <w:tblW w:w="0" w:type="auto"/>
        <w:tblInd w:w="108" w:type="dxa"/>
        <w:tblLook w:val="04A0" w:firstRow="1" w:lastRow="0" w:firstColumn="1" w:lastColumn="0" w:noHBand="0" w:noVBand="1"/>
      </w:tblPr>
      <w:tblGrid>
        <w:gridCol w:w="1985"/>
        <w:gridCol w:w="1984"/>
        <w:gridCol w:w="1276"/>
        <w:gridCol w:w="1985"/>
        <w:gridCol w:w="1984"/>
      </w:tblGrid>
      <w:tr w:rsidR="001C3193" w14:paraId="0EF5CBB4" w14:textId="77777777" w:rsidTr="008F1AF9">
        <w:tc>
          <w:tcPr>
            <w:tcW w:w="3969" w:type="dxa"/>
            <w:gridSpan w:val="2"/>
          </w:tcPr>
          <w:p w14:paraId="27363799" w14:textId="45990315" w:rsidR="001C3193" w:rsidRDefault="001C3193">
            <w:pPr>
              <w:pStyle w:val="ICASBody"/>
              <w:rPr>
                <w:b/>
                <w:bCs/>
              </w:rPr>
            </w:pPr>
            <w:r>
              <w:rPr>
                <w:b/>
                <w:bCs/>
              </w:rPr>
              <w:t>Interest</w:t>
            </w:r>
            <w:r w:rsidRPr="006C193C">
              <w:rPr>
                <w:b/>
                <w:bCs/>
              </w:rPr>
              <w:t xml:space="preserve"> rate </w:t>
            </w:r>
            <w:r>
              <w:rPr>
                <w:b/>
                <w:bCs/>
              </w:rPr>
              <w:t>&gt;</w:t>
            </w:r>
            <w:r w:rsidRPr="006C193C">
              <w:rPr>
                <w:b/>
                <w:bCs/>
              </w:rPr>
              <w:t>0.</w:t>
            </w:r>
            <w:r>
              <w:rPr>
                <w:b/>
                <w:bCs/>
              </w:rPr>
              <w:t>5</w:t>
            </w:r>
            <w:r w:rsidRPr="006C193C">
              <w:rPr>
                <w:b/>
                <w:bCs/>
              </w:rPr>
              <w:t>%</w:t>
            </w:r>
            <w:r>
              <w:rPr>
                <w:b/>
                <w:bCs/>
              </w:rPr>
              <w:t xml:space="preserve"> - 0.75%</w:t>
            </w:r>
          </w:p>
        </w:tc>
        <w:tc>
          <w:tcPr>
            <w:tcW w:w="1276" w:type="dxa"/>
            <w:tcBorders>
              <w:top w:val="nil"/>
              <w:bottom w:val="nil"/>
            </w:tcBorders>
          </w:tcPr>
          <w:p w14:paraId="65FFA2E0" w14:textId="77777777" w:rsidR="001C3193" w:rsidRDefault="001C3193">
            <w:pPr>
              <w:pStyle w:val="ICASBody"/>
              <w:rPr>
                <w:b/>
                <w:bCs/>
              </w:rPr>
            </w:pPr>
          </w:p>
        </w:tc>
        <w:tc>
          <w:tcPr>
            <w:tcW w:w="3969" w:type="dxa"/>
            <w:gridSpan w:val="2"/>
          </w:tcPr>
          <w:p w14:paraId="1B18515B" w14:textId="37684D4B" w:rsidR="001C3193" w:rsidRDefault="001C3193">
            <w:pPr>
              <w:pStyle w:val="ICASBody"/>
              <w:rPr>
                <w:b/>
                <w:bCs/>
              </w:rPr>
            </w:pPr>
            <w:r>
              <w:rPr>
                <w:b/>
                <w:bCs/>
              </w:rPr>
              <w:t>Interest</w:t>
            </w:r>
            <w:r w:rsidRPr="006C193C">
              <w:rPr>
                <w:b/>
                <w:bCs/>
              </w:rPr>
              <w:t xml:space="preserve"> rate </w:t>
            </w:r>
            <w:r>
              <w:rPr>
                <w:b/>
                <w:bCs/>
              </w:rPr>
              <w:t>&gt;</w:t>
            </w:r>
            <w:r w:rsidRPr="006C193C">
              <w:rPr>
                <w:b/>
                <w:bCs/>
              </w:rPr>
              <w:t>0.</w:t>
            </w:r>
            <w:r>
              <w:rPr>
                <w:b/>
                <w:bCs/>
              </w:rPr>
              <w:t>7</w:t>
            </w:r>
            <w:r w:rsidRPr="006C193C">
              <w:rPr>
                <w:b/>
                <w:bCs/>
              </w:rPr>
              <w:t>5%</w:t>
            </w:r>
            <w:r>
              <w:rPr>
                <w:b/>
                <w:bCs/>
              </w:rPr>
              <w:t xml:space="preserve"> - 1%</w:t>
            </w:r>
          </w:p>
        </w:tc>
      </w:tr>
      <w:tr w:rsidR="001C3193" w14:paraId="7AB54175" w14:textId="77777777" w:rsidTr="008F1AF9">
        <w:tc>
          <w:tcPr>
            <w:tcW w:w="1985" w:type="dxa"/>
          </w:tcPr>
          <w:p w14:paraId="06948259" w14:textId="77777777" w:rsidR="001C3193" w:rsidRDefault="001C3193">
            <w:pPr>
              <w:pStyle w:val="ICASBody"/>
              <w:jc w:val="center"/>
              <w:rPr>
                <w:b/>
                <w:bCs/>
              </w:rPr>
            </w:pPr>
            <w:r>
              <w:rPr>
                <w:b/>
                <w:bCs/>
              </w:rPr>
              <w:t>Number of weeks</w:t>
            </w:r>
          </w:p>
        </w:tc>
        <w:tc>
          <w:tcPr>
            <w:tcW w:w="1984" w:type="dxa"/>
          </w:tcPr>
          <w:p w14:paraId="0A594E87" w14:textId="77777777" w:rsidR="001C3193" w:rsidRDefault="001C3193">
            <w:pPr>
              <w:pStyle w:val="ICASBody"/>
              <w:jc w:val="center"/>
              <w:rPr>
                <w:b/>
                <w:bCs/>
              </w:rPr>
            </w:pPr>
            <w:r>
              <w:rPr>
                <w:b/>
                <w:bCs/>
              </w:rPr>
              <w:t>Minimum balance</w:t>
            </w:r>
          </w:p>
        </w:tc>
        <w:tc>
          <w:tcPr>
            <w:tcW w:w="1276" w:type="dxa"/>
            <w:tcBorders>
              <w:top w:val="nil"/>
              <w:bottom w:val="nil"/>
            </w:tcBorders>
          </w:tcPr>
          <w:p w14:paraId="1F263B61" w14:textId="77777777" w:rsidR="001C3193" w:rsidRDefault="001C3193">
            <w:pPr>
              <w:pStyle w:val="ICASBody"/>
              <w:jc w:val="center"/>
              <w:rPr>
                <w:b/>
                <w:bCs/>
              </w:rPr>
            </w:pPr>
          </w:p>
        </w:tc>
        <w:tc>
          <w:tcPr>
            <w:tcW w:w="1985" w:type="dxa"/>
          </w:tcPr>
          <w:p w14:paraId="18C0C3C5" w14:textId="77777777" w:rsidR="001C3193" w:rsidRDefault="001C3193">
            <w:pPr>
              <w:pStyle w:val="ICASBody"/>
              <w:jc w:val="center"/>
              <w:rPr>
                <w:b/>
                <w:bCs/>
              </w:rPr>
            </w:pPr>
            <w:r>
              <w:rPr>
                <w:b/>
                <w:bCs/>
              </w:rPr>
              <w:t>Number of weeks</w:t>
            </w:r>
          </w:p>
        </w:tc>
        <w:tc>
          <w:tcPr>
            <w:tcW w:w="1984" w:type="dxa"/>
          </w:tcPr>
          <w:p w14:paraId="362313A4" w14:textId="77777777" w:rsidR="001C3193" w:rsidRDefault="001C3193">
            <w:pPr>
              <w:pStyle w:val="ICASBody"/>
              <w:jc w:val="center"/>
              <w:rPr>
                <w:b/>
                <w:bCs/>
              </w:rPr>
            </w:pPr>
            <w:r>
              <w:rPr>
                <w:b/>
                <w:bCs/>
              </w:rPr>
              <w:t>Minimum balance</w:t>
            </w:r>
          </w:p>
        </w:tc>
      </w:tr>
      <w:tr w:rsidR="00C0120A" w14:paraId="7ED52722" w14:textId="77777777" w:rsidTr="008F1AF9">
        <w:tc>
          <w:tcPr>
            <w:tcW w:w="1985" w:type="dxa"/>
          </w:tcPr>
          <w:p w14:paraId="169D1F44" w14:textId="77777777" w:rsidR="00C0120A" w:rsidRPr="001C3193" w:rsidRDefault="00C0120A" w:rsidP="00C0120A">
            <w:pPr>
              <w:pStyle w:val="ICASBody"/>
              <w:jc w:val="center"/>
            </w:pPr>
            <w:r w:rsidRPr="001C3193">
              <w:t>8</w:t>
            </w:r>
          </w:p>
        </w:tc>
        <w:tc>
          <w:tcPr>
            <w:tcW w:w="1984" w:type="dxa"/>
          </w:tcPr>
          <w:p w14:paraId="24C52DA0" w14:textId="24E310FB" w:rsidR="00C0120A" w:rsidRPr="001C3193" w:rsidRDefault="00C0120A" w:rsidP="00C0120A">
            <w:pPr>
              <w:pStyle w:val="ICASBody"/>
              <w:jc w:val="center"/>
            </w:pPr>
            <w:r>
              <w:t>£2,000</w:t>
            </w:r>
          </w:p>
        </w:tc>
        <w:tc>
          <w:tcPr>
            <w:tcW w:w="1276" w:type="dxa"/>
            <w:tcBorders>
              <w:top w:val="nil"/>
              <w:bottom w:val="nil"/>
            </w:tcBorders>
          </w:tcPr>
          <w:p w14:paraId="3B741643" w14:textId="77777777" w:rsidR="00C0120A" w:rsidRPr="001C3193" w:rsidRDefault="00C0120A" w:rsidP="00C0120A">
            <w:pPr>
              <w:pStyle w:val="ICASBody"/>
              <w:jc w:val="center"/>
            </w:pPr>
          </w:p>
        </w:tc>
        <w:tc>
          <w:tcPr>
            <w:tcW w:w="1985" w:type="dxa"/>
          </w:tcPr>
          <w:p w14:paraId="6F86D896" w14:textId="77777777" w:rsidR="00C0120A" w:rsidRPr="001C3193" w:rsidRDefault="00C0120A" w:rsidP="00C0120A">
            <w:pPr>
              <w:pStyle w:val="ICASBody"/>
              <w:jc w:val="center"/>
            </w:pPr>
            <w:r w:rsidRPr="001C3193">
              <w:t>8</w:t>
            </w:r>
          </w:p>
        </w:tc>
        <w:tc>
          <w:tcPr>
            <w:tcW w:w="1984" w:type="dxa"/>
          </w:tcPr>
          <w:p w14:paraId="232FE0F0" w14:textId="08588FE8" w:rsidR="00C0120A" w:rsidRPr="001C3193" w:rsidRDefault="00C0120A" w:rsidP="00C0120A">
            <w:pPr>
              <w:pStyle w:val="ICASBody"/>
              <w:jc w:val="center"/>
            </w:pPr>
            <w:r>
              <w:t>£1,500</w:t>
            </w:r>
          </w:p>
        </w:tc>
      </w:tr>
      <w:tr w:rsidR="00C0120A" w14:paraId="69AC1C47" w14:textId="77777777" w:rsidTr="008F1AF9">
        <w:tc>
          <w:tcPr>
            <w:tcW w:w="1985" w:type="dxa"/>
          </w:tcPr>
          <w:p w14:paraId="524B3C49" w14:textId="77777777" w:rsidR="00C0120A" w:rsidRPr="001C3193" w:rsidRDefault="00C0120A" w:rsidP="00C0120A">
            <w:pPr>
              <w:pStyle w:val="ICASBody"/>
              <w:jc w:val="center"/>
            </w:pPr>
            <w:r w:rsidRPr="001C3193">
              <w:t>6</w:t>
            </w:r>
          </w:p>
        </w:tc>
        <w:tc>
          <w:tcPr>
            <w:tcW w:w="1984" w:type="dxa"/>
          </w:tcPr>
          <w:p w14:paraId="2B549CF4" w14:textId="01081B2B" w:rsidR="00C0120A" w:rsidRPr="001C3193" w:rsidRDefault="00C0120A" w:rsidP="00C0120A">
            <w:pPr>
              <w:pStyle w:val="ICASBody"/>
              <w:jc w:val="center"/>
            </w:pPr>
            <w:r>
              <w:t>£2,000</w:t>
            </w:r>
          </w:p>
        </w:tc>
        <w:tc>
          <w:tcPr>
            <w:tcW w:w="1276" w:type="dxa"/>
            <w:tcBorders>
              <w:top w:val="nil"/>
              <w:bottom w:val="nil"/>
            </w:tcBorders>
          </w:tcPr>
          <w:p w14:paraId="68160DB6" w14:textId="77777777" w:rsidR="00C0120A" w:rsidRPr="001C3193" w:rsidRDefault="00C0120A" w:rsidP="00C0120A">
            <w:pPr>
              <w:pStyle w:val="ICASBody"/>
              <w:jc w:val="center"/>
            </w:pPr>
          </w:p>
        </w:tc>
        <w:tc>
          <w:tcPr>
            <w:tcW w:w="1985" w:type="dxa"/>
          </w:tcPr>
          <w:p w14:paraId="3118ED7D" w14:textId="77777777" w:rsidR="00C0120A" w:rsidRPr="001C3193" w:rsidRDefault="00C0120A" w:rsidP="00C0120A">
            <w:pPr>
              <w:pStyle w:val="ICASBody"/>
              <w:jc w:val="center"/>
            </w:pPr>
            <w:r w:rsidRPr="001C3193">
              <w:t>6</w:t>
            </w:r>
          </w:p>
        </w:tc>
        <w:tc>
          <w:tcPr>
            <w:tcW w:w="1984" w:type="dxa"/>
          </w:tcPr>
          <w:p w14:paraId="245B9D3E" w14:textId="2807DC52" w:rsidR="00C0120A" w:rsidRPr="001C3193" w:rsidRDefault="00C0120A" w:rsidP="00C0120A">
            <w:pPr>
              <w:pStyle w:val="ICASBody"/>
              <w:jc w:val="center"/>
            </w:pPr>
            <w:r>
              <w:t>£2,000</w:t>
            </w:r>
          </w:p>
        </w:tc>
      </w:tr>
      <w:tr w:rsidR="00C0120A" w14:paraId="7154E31C" w14:textId="77777777" w:rsidTr="008F1AF9">
        <w:tc>
          <w:tcPr>
            <w:tcW w:w="1985" w:type="dxa"/>
          </w:tcPr>
          <w:p w14:paraId="0AC5B7F2" w14:textId="77777777" w:rsidR="00C0120A" w:rsidRPr="001C3193" w:rsidRDefault="00C0120A" w:rsidP="00C0120A">
            <w:pPr>
              <w:pStyle w:val="ICASBody"/>
              <w:jc w:val="center"/>
            </w:pPr>
            <w:r w:rsidRPr="001C3193">
              <w:t>4</w:t>
            </w:r>
          </w:p>
        </w:tc>
        <w:tc>
          <w:tcPr>
            <w:tcW w:w="1984" w:type="dxa"/>
          </w:tcPr>
          <w:p w14:paraId="5E2E84D2" w14:textId="39DD6899" w:rsidR="00C0120A" w:rsidRPr="001C3193" w:rsidRDefault="00C0120A" w:rsidP="00C0120A">
            <w:pPr>
              <w:pStyle w:val="ICASBody"/>
              <w:jc w:val="center"/>
            </w:pPr>
            <w:r>
              <w:t>£5,000</w:t>
            </w:r>
          </w:p>
        </w:tc>
        <w:tc>
          <w:tcPr>
            <w:tcW w:w="1276" w:type="dxa"/>
            <w:tcBorders>
              <w:top w:val="nil"/>
              <w:bottom w:val="nil"/>
            </w:tcBorders>
          </w:tcPr>
          <w:p w14:paraId="39AA5830" w14:textId="77777777" w:rsidR="00C0120A" w:rsidRPr="001C3193" w:rsidRDefault="00C0120A" w:rsidP="00C0120A">
            <w:pPr>
              <w:pStyle w:val="ICASBody"/>
              <w:jc w:val="center"/>
            </w:pPr>
          </w:p>
        </w:tc>
        <w:tc>
          <w:tcPr>
            <w:tcW w:w="1985" w:type="dxa"/>
          </w:tcPr>
          <w:p w14:paraId="5705F27E" w14:textId="77777777" w:rsidR="00C0120A" w:rsidRPr="001C3193" w:rsidRDefault="00C0120A" w:rsidP="00C0120A">
            <w:pPr>
              <w:pStyle w:val="ICASBody"/>
              <w:jc w:val="center"/>
            </w:pPr>
            <w:r w:rsidRPr="001C3193">
              <w:t>4</w:t>
            </w:r>
          </w:p>
        </w:tc>
        <w:tc>
          <w:tcPr>
            <w:tcW w:w="1984" w:type="dxa"/>
          </w:tcPr>
          <w:p w14:paraId="1A34A970" w14:textId="0D0DB0CE" w:rsidR="00C0120A" w:rsidRPr="001C3193" w:rsidRDefault="00C0120A" w:rsidP="00C0120A">
            <w:pPr>
              <w:pStyle w:val="ICASBody"/>
              <w:jc w:val="center"/>
            </w:pPr>
            <w:r>
              <w:t>£3,000</w:t>
            </w:r>
          </w:p>
        </w:tc>
      </w:tr>
      <w:tr w:rsidR="00C0120A" w14:paraId="03897D26" w14:textId="77777777" w:rsidTr="008F1AF9">
        <w:tc>
          <w:tcPr>
            <w:tcW w:w="1985" w:type="dxa"/>
          </w:tcPr>
          <w:p w14:paraId="60999691" w14:textId="77777777" w:rsidR="00C0120A" w:rsidRPr="001C3193" w:rsidRDefault="00C0120A" w:rsidP="00C0120A">
            <w:pPr>
              <w:pStyle w:val="ICASBody"/>
              <w:jc w:val="center"/>
            </w:pPr>
            <w:r w:rsidRPr="001C3193">
              <w:t>2</w:t>
            </w:r>
          </w:p>
        </w:tc>
        <w:tc>
          <w:tcPr>
            <w:tcW w:w="1984" w:type="dxa"/>
          </w:tcPr>
          <w:p w14:paraId="7F321A01" w14:textId="445D3756" w:rsidR="00C0120A" w:rsidRPr="001C3193" w:rsidRDefault="00C0120A" w:rsidP="00C0120A">
            <w:pPr>
              <w:pStyle w:val="ICASBody"/>
              <w:jc w:val="center"/>
            </w:pPr>
            <w:r>
              <w:t>£7,500</w:t>
            </w:r>
          </w:p>
        </w:tc>
        <w:tc>
          <w:tcPr>
            <w:tcW w:w="1276" w:type="dxa"/>
            <w:tcBorders>
              <w:top w:val="nil"/>
              <w:bottom w:val="nil"/>
            </w:tcBorders>
          </w:tcPr>
          <w:p w14:paraId="401C96B1" w14:textId="77777777" w:rsidR="00C0120A" w:rsidRPr="001C3193" w:rsidRDefault="00C0120A" w:rsidP="00C0120A">
            <w:pPr>
              <w:pStyle w:val="ICASBody"/>
              <w:jc w:val="center"/>
            </w:pPr>
          </w:p>
        </w:tc>
        <w:tc>
          <w:tcPr>
            <w:tcW w:w="1985" w:type="dxa"/>
          </w:tcPr>
          <w:p w14:paraId="23CDE7BC" w14:textId="77777777" w:rsidR="00C0120A" w:rsidRPr="001C3193" w:rsidRDefault="00C0120A" w:rsidP="00C0120A">
            <w:pPr>
              <w:pStyle w:val="ICASBody"/>
              <w:jc w:val="center"/>
            </w:pPr>
            <w:r w:rsidRPr="001C3193">
              <w:t>2</w:t>
            </w:r>
          </w:p>
        </w:tc>
        <w:tc>
          <w:tcPr>
            <w:tcW w:w="1984" w:type="dxa"/>
          </w:tcPr>
          <w:p w14:paraId="2D3FCC33" w14:textId="1A4E1F80" w:rsidR="00C0120A" w:rsidRPr="001C3193" w:rsidRDefault="00C0120A" w:rsidP="00C0120A">
            <w:pPr>
              <w:pStyle w:val="ICASBody"/>
              <w:jc w:val="center"/>
            </w:pPr>
            <w:r>
              <w:t>£5,000</w:t>
            </w:r>
          </w:p>
        </w:tc>
      </w:tr>
      <w:tr w:rsidR="00C0120A" w14:paraId="28F26BBB" w14:textId="77777777" w:rsidTr="008F1AF9">
        <w:tc>
          <w:tcPr>
            <w:tcW w:w="1985" w:type="dxa"/>
          </w:tcPr>
          <w:p w14:paraId="60B5B5E9" w14:textId="771BB1BB" w:rsidR="00C0120A" w:rsidRPr="001C3193" w:rsidRDefault="00C0120A" w:rsidP="00C0120A">
            <w:pPr>
              <w:pStyle w:val="ICASBody"/>
              <w:jc w:val="center"/>
            </w:pPr>
            <w:r>
              <w:t>1</w:t>
            </w:r>
          </w:p>
        </w:tc>
        <w:tc>
          <w:tcPr>
            <w:tcW w:w="1984" w:type="dxa"/>
          </w:tcPr>
          <w:p w14:paraId="3610A8C7" w14:textId="4720A918" w:rsidR="00C0120A" w:rsidRPr="001C3193" w:rsidRDefault="00C0120A" w:rsidP="00C0120A">
            <w:pPr>
              <w:pStyle w:val="ICASBody"/>
              <w:jc w:val="center"/>
            </w:pPr>
            <w:r>
              <w:t>£15,000</w:t>
            </w:r>
          </w:p>
        </w:tc>
        <w:tc>
          <w:tcPr>
            <w:tcW w:w="1276" w:type="dxa"/>
            <w:tcBorders>
              <w:top w:val="nil"/>
              <w:bottom w:val="nil"/>
            </w:tcBorders>
          </w:tcPr>
          <w:p w14:paraId="38279ACF" w14:textId="77777777" w:rsidR="00C0120A" w:rsidRPr="001C3193" w:rsidRDefault="00C0120A" w:rsidP="00C0120A">
            <w:pPr>
              <w:pStyle w:val="ICASBody"/>
              <w:jc w:val="center"/>
            </w:pPr>
          </w:p>
        </w:tc>
        <w:tc>
          <w:tcPr>
            <w:tcW w:w="1985" w:type="dxa"/>
          </w:tcPr>
          <w:p w14:paraId="626AB9BC" w14:textId="2B114B0D" w:rsidR="00C0120A" w:rsidRPr="001C3193" w:rsidRDefault="00C0120A" w:rsidP="00C0120A">
            <w:pPr>
              <w:pStyle w:val="ICASBody"/>
              <w:jc w:val="center"/>
            </w:pPr>
            <w:r>
              <w:t>1</w:t>
            </w:r>
          </w:p>
        </w:tc>
        <w:tc>
          <w:tcPr>
            <w:tcW w:w="1984" w:type="dxa"/>
          </w:tcPr>
          <w:p w14:paraId="33644687" w14:textId="421B20EE" w:rsidR="00C0120A" w:rsidRPr="001C3193" w:rsidRDefault="00C0120A" w:rsidP="00C0120A">
            <w:pPr>
              <w:pStyle w:val="ICASBody"/>
              <w:jc w:val="center"/>
            </w:pPr>
            <w:r>
              <w:t>£10,000</w:t>
            </w:r>
          </w:p>
        </w:tc>
      </w:tr>
    </w:tbl>
    <w:p w14:paraId="611BBCDE" w14:textId="77777777" w:rsidR="00A35E38" w:rsidRDefault="00A35E38" w:rsidP="00E77272">
      <w:pPr>
        <w:pStyle w:val="ICASBody"/>
        <w:rPr>
          <w:b/>
          <w:bCs/>
        </w:rPr>
      </w:pPr>
    </w:p>
    <w:tbl>
      <w:tblPr>
        <w:tblStyle w:val="TableGrid"/>
        <w:tblW w:w="0" w:type="auto"/>
        <w:tblInd w:w="108" w:type="dxa"/>
        <w:tblLook w:val="04A0" w:firstRow="1" w:lastRow="0" w:firstColumn="1" w:lastColumn="0" w:noHBand="0" w:noVBand="1"/>
      </w:tblPr>
      <w:tblGrid>
        <w:gridCol w:w="1985"/>
        <w:gridCol w:w="1984"/>
        <w:gridCol w:w="1276"/>
        <w:gridCol w:w="1985"/>
        <w:gridCol w:w="1984"/>
      </w:tblGrid>
      <w:tr w:rsidR="00C2034B" w14:paraId="321BDC3F" w14:textId="77777777">
        <w:tc>
          <w:tcPr>
            <w:tcW w:w="3969" w:type="dxa"/>
            <w:gridSpan w:val="2"/>
          </w:tcPr>
          <w:p w14:paraId="2EC366D7" w14:textId="67EBDDB2" w:rsidR="00C2034B" w:rsidRDefault="00C2034B">
            <w:pPr>
              <w:pStyle w:val="ICASBody"/>
              <w:rPr>
                <w:b/>
                <w:bCs/>
              </w:rPr>
            </w:pPr>
            <w:r>
              <w:rPr>
                <w:b/>
                <w:bCs/>
              </w:rPr>
              <w:t>Interest</w:t>
            </w:r>
            <w:r w:rsidRPr="006C193C">
              <w:rPr>
                <w:b/>
                <w:bCs/>
              </w:rPr>
              <w:t xml:space="preserve"> rate </w:t>
            </w:r>
            <w:r>
              <w:rPr>
                <w:b/>
                <w:bCs/>
              </w:rPr>
              <w:t>&gt;</w:t>
            </w:r>
            <w:r w:rsidR="005F0FBD">
              <w:rPr>
                <w:b/>
                <w:bCs/>
              </w:rPr>
              <w:t>1</w:t>
            </w:r>
            <w:r w:rsidRPr="006C193C">
              <w:rPr>
                <w:b/>
                <w:bCs/>
              </w:rPr>
              <w:t>%</w:t>
            </w:r>
            <w:r>
              <w:rPr>
                <w:b/>
                <w:bCs/>
              </w:rPr>
              <w:t xml:space="preserve"> - </w:t>
            </w:r>
            <w:r w:rsidR="005F0FBD">
              <w:rPr>
                <w:b/>
                <w:bCs/>
              </w:rPr>
              <w:t>3</w:t>
            </w:r>
            <w:r>
              <w:rPr>
                <w:b/>
                <w:bCs/>
              </w:rPr>
              <w:t>%</w:t>
            </w:r>
          </w:p>
        </w:tc>
        <w:tc>
          <w:tcPr>
            <w:tcW w:w="1276" w:type="dxa"/>
            <w:tcBorders>
              <w:top w:val="nil"/>
              <w:bottom w:val="nil"/>
            </w:tcBorders>
          </w:tcPr>
          <w:p w14:paraId="194D09C5" w14:textId="77777777" w:rsidR="00C2034B" w:rsidRDefault="00C2034B">
            <w:pPr>
              <w:pStyle w:val="ICASBody"/>
              <w:rPr>
                <w:b/>
                <w:bCs/>
              </w:rPr>
            </w:pPr>
          </w:p>
        </w:tc>
        <w:tc>
          <w:tcPr>
            <w:tcW w:w="3969" w:type="dxa"/>
            <w:gridSpan w:val="2"/>
          </w:tcPr>
          <w:p w14:paraId="3B7C7EDE" w14:textId="397795AB" w:rsidR="00C2034B" w:rsidRDefault="00C2034B">
            <w:pPr>
              <w:pStyle w:val="ICASBody"/>
              <w:rPr>
                <w:b/>
                <w:bCs/>
              </w:rPr>
            </w:pPr>
            <w:r>
              <w:rPr>
                <w:b/>
                <w:bCs/>
              </w:rPr>
              <w:t>Interest</w:t>
            </w:r>
            <w:r w:rsidRPr="006C193C">
              <w:rPr>
                <w:b/>
                <w:bCs/>
              </w:rPr>
              <w:t xml:space="preserve"> rate </w:t>
            </w:r>
            <w:r>
              <w:rPr>
                <w:b/>
                <w:bCs/>
              </w:rPr>
              <w:t>&gt;</w:t>
            </w:r>
            <w:r w:rsidR="005F0FBD">
              <w:rPr>
                <w:b/>
                <w:bCs/>
              </w:rPr>
              <w:t>3</w:t>
            </w:r>
            <w:r w:rsidRPr="006C193C">
              <w:rPr>
                <w:b/>
                <w:bCs/>
              </w:rPr>
              <w:t>%</w:t>
            </w:r>
            <w:r w:rsidR="00F01A33">
              <w:rPr>
                <w:b/>
                <w:bCs/>
              </w:rPr>
              <w:t xml:space="preserve"> - 5%</w:t>
            </w:r>
          </w:p>
        </w:tc>
      </w:tr>
      <w:tr w:rsidR="00C2034B" w14:paraId="2B84A7BE" w14:textId="77777777">
        <w:tc>
          <w:tcPr>
            <w:tcW w:w="1985" w:type="dxa"/>
          </w:tcPr>
          <w:p w14:paraId="71DD2F4E" w14:textId="77777777" w:rsidR="00C2034B" w:rsidRDefault="00C2034B">
            <w:pPr>
              <w:pStyle w:val="ICASBody"/>
              <w:jc w:val="center"/>
              <w:rPr>
                <w:b/>
                <w:bCs/>
              </w:rPr>
            </w:pPr>
            <w:r>
              <w:rPr>
                <w:b/>
                <w:bCs/>
              </w:rPr>
              <w:t>Number of weeks</w:t>
            </w:r>
          </w:p>
        </w:tc>
        <w:tc>
          <w:tcPr>
            <w:tcW w:w="1984" w:type="dxa"/>
          </w:tcPr>
          <w:p w14:paraId="4D6CBC0C" w14:textId="77777777" w:rsidR="00C2034B" w:rsidRDefault="00C2034B">
            <w:pPr>
              <w:pStyle w:val="ICASBody"/>
              <w:jc w:val="center"/>
              <w:rPr>
                <w:b/>
                <w:bCs/>
              </w:rPr>
            </w:pPr>
            <w:r>
              <w:rPr>
                <w:b/>
                <w:bCs/>
              </w:rPr>
              <w:t>Minimum balance</w:t>
            </w:r>
          </w:p>
        </w:tc>
        <w:tc>
          <w:tcPr>
            <w:tcW w:w="1276" w:type="dxa"/>
            <w:tcBorders>
              <w:top w:val="nil"/>
              <w:bottom w:val="nil"/>
            </w:tcBorders>
          </w:tcPr>
          <w:p w14:paraId="5F76E3D0" w14:textId="77777777" w:rsidR="00C2034B" w:rsidRDefault="00C2034B">
            <w:pPr>
              <w:pStyle w:val="ICASBody"/>
              <w:jc w:val="center"/>
              <w:rPr>
                <w:b/>
                <w:bCs/>
              </w:rPr>
            </w:pPr>
          </w:p>
        </w:tc>
        <w:tc>
          <w:tcPr>
            <w:tcW w:w="1985" w:type="dxa"/>
          </w:tcPr>
          <w:p w14:paraId="6F0E7907" w14:textId="77777777" w:rsidR="00C2034B" w:rsidRDefault="00C2034B">
            <w:pPr>
              <w:pStyle w:val="ICASBody"/>
              <w:jc w:val="center"/>
              <w:rPr>
                <w:b/>
                <w:bCs/>
              </w:rPr>
            </w:pPr>
            <w:r>
              <w:rPr>
                <w:b/>
                <w:bCs/>
              </w:rPr>
              <w:t>Number of weeks</w:t>
            </w:r>
          </w:p>
        </w:tc>
        <w:tc>
          <w:tcPr>
            <w:tcW w:w="1984" w:type="dxa"/>
          </w:tcPr>
          <w:p w14:paraId="1945F2EA" w14:textId="77777777" w:rsidR="00C2034B" w:rsidRDefault="00C2034B">
            <w:pPr>
              <w:pStyle w:val="ICASBody"/>
              <w:jc w:val="center"/>
              <w:rPr>
                <w:b/>
                <w:bCs/>
              </w:rPr>
            </w:pPr>
            <w:r>
              <w:rPr>
                <w:b/>
                <w:bCs/>
              </w:rPr>
              <w:t>Minimum balance</w:t>
            </w:r>
          </w:p>
        </w:tc>
      </w:tr>
      <w:tr w:rsidR="006B6F17" w14:paraId="6AAD4474" w14:textId="77777777">
        <w:tc>
          <w:tcPr>
            <w:tcW w:w="1985" w:type="dxa"/>
          </w:tcPr>
          <w:p w14:paraId="1B23E85C" w14:textId="77777777" w:rsidR="006B6F17" w:rsidRPr="001C3193" w:rsidRDefault="006B6F17" w:rsidP="006B6F17">
            <w:pPr>
              <w:pStyle w:val="ICASBody"/>
              <w:jc w:val="center"/>
            </w:pPr>
            <w:r w:rsidRPr="001C3193">
              <w:t>8</w:t>
            </w:r>
          </w:p>
        </w:tc>
        <w:tc>
          <w:tcPr>
            <w:tcW w:w="1984" w:type="dxa"/>
            <w:vAlign w:val="center"/>
          </w:tcPr>
          <w:p w14:paraId="4B95DE13" w14:textId="7A4AC665" w:rsidR="006B6F17" w:rsidRPr="001C3193" w:rsidRDefault="006B6F17" w:rsidP="006B6F17">
            <w:pPr>
              <w:pStyle w:val="ICASBody"/>
              <w:jc w:val="center"/>
            </w:pPr>
            <w:r>
              <w:t>£800</w:t>
            </w:r>
          </w:p>
        </w:tc>
        <w:tc>
          <w:tcPr>
            <w:tcW w:w="1276" w:type="dxa"/>
            <w:tcBorders>
              <w:top w:val="nil"/>
              <w:bottom w:val="nil"/>
            </w:tcBorders>
          </w:tcPr>
          <w:p w14:paraId="4F7551C6" w14:textId="77777777" w:rsidR="006B6F17" w:rsidRPr="001C3193" w:rsidRDefault="006B6F17" w:rsidP="006B6F17">
            <w:pPr>
              <w:pStyle w:val="ICASBody"/>
              <w:jc w:val="center"/>
            </w:pPr>
          </w:p>
        </w:tc>
        <w:tc>
          <w:tcPr>
            <w:tcW w:w="1985" w:type="dxa"/>
          </w:tcPr>
          <w:p w14:paraId="62CEEEB9" w14:textId="77777777" w:rsidR="006B6F17" w:rsidRPr="001C3193" w:rsidRDefault="006B6F17" w:rsidP="006B6F17">
            <w:pPr>
              <w:pStyle w:val="ICASBody"/>
              <w:jc w:val="center"/>
            </w:pPr>
            <w:r w:rsidRPr="001C3193">
              <w:t>8</w:t>
            </w:r>
          </w:p>
        </w:tc>
        <w:tc>
          <w:tcPr>
            <w:tcW w:w="1984" w:type="dxa"/>
            <w:vAlign w:val="center"/>
          </w:tcPr>
          <w:p w14:paraId="37A90839" w14:textId="33A96376" w:rsidR="006B6F17" w:rsidRPr="001C3193" w:rsidRDefault="006B6F17" w:rsidP="006B6F17">
            <w:pPr>
              <w:pStyle w:val="ICASBody"/>
              <w:jc w:val="center"/>
            </w:pPr>
            <w:r>
              <w:t>£600</w:t>
            </w:r>
          </w:p>
        </w:tc>
      </w:tr>
      <w:tr w:rsidR="006B6F17" w14:paraId="4CEC313C" w14:textId="77777777">
        <w:tc>
          <w:tcPr>
            <w:tcW w:w="1985" w:type="dxa"/>
          </w:tcPr>
          <w:p w14:paraId="1427F680" w14:textId="77777777" w:rsidR="006B6F17" w:rsidRPr="001C3193" w:rsidRDefault="006B6F17" w:rsidP="006B6F17">
            <w:pPr>
              <w:pStyle w:val="ICASBody"/>
              <w:jc w:val="center"/>
            </w:pPr>
            <w:r w:rsidRPr="001C3193">
              <w:t>6</w:t>
            </w:r>
          </w:p>
        </w:tc>
        <w:tc>
          <w:tcPr>
            <w:tcW w:w="1984" w:type="dxa"/>
            <w:vAlign w:val="center"/>
          </w:tcPr>
          <w:p w14:paraId="5C28569A" w14:textId="14A76F52" w:rsidR="006B6F17" w:rsidRPr="001C3193" w:rsidRDefault="006B6F17" w:rsidP="006B6F17">
            <w:pPr>
              <w:pStyle w:val="ICASBody"/>
              <w:jc w:val="center"/>
            </w:pPr>
            <w:r>
              <w:t>£1,000</w:t>
            </w:r>
          </w:p>
        </w:tc>
        <w:tc>
          <w:tcPr>
            <w:tcW w:w="1276" w:type="dxa"/>
            <w:tcBorders>
              <w:top w:val="nil"/>
              <w:bottom w:val="nil"/>
            </w:tcBorders>
          </w:tcPr>
          <w:p w14:paraId="128F4470" w14:textId="77777777" w:rsidR="006B6F17" w:rsidRPr="001C3193" w:rsidRDefault="006B6F17" w:rsidP="006B6F17">
            <w:pPr>
              <w:pStyle w:val="ICASBody"/>
              <w:jc w:val="center"/>
            </w:pPr>
          </w:p>
        </w:tc>
        <w:tc>
          <w:tcPr>
            <w:tcW w:w="1985" w:type="dxa"/>
          </w:tcPr>
          <w:p w14:paraId="1D414525" w14:textId="77777777" w:rsidR="006B6F17" w:rsidRPr="001C3193" w:rsidRDefault="006B6F17" w:rsidP="006B6F17">
            <w:pPr>
              <w:pStyle w:val="ICASBody"/>
              <w:jc w:val="center"/>
            </w:pPr>
            <w:r w:rsidRPr="001C3193">
              <w:t>6</w:t>
            </w:r>
          </w:p>
        </w:tc>
        <w:tc>
          <w:tcPr>
            <w:tcW w:w="1984" w:type="dxa"/>
            <w:vAlign w:val="center"/>
          </w:tcPr>
          <w:p w14:paraId="6C0668B7" w14:textId="7591166F" w:rsidR="006B6F17" w:rsidRPr="001C3193" w:rsidRDefault="006B6F17" w:rsidP="006B6F17">
            <w:pPr>
              <w:pStyle w:val="ICASBody"/>
              <w:jc w:val="center"/>
            </w:pPr>
            <w:r>
              <w:t>£800</w:t>
            </w:r>
          </w:p>
        </w:tc>
      </w:tr>
      <w:tr w:rsidR="006B6F17" w14:paraId="17491924" w14:textId="77777777">
        <w:tc>
          <w:tcPr>
            <w:tcW w:w="1985" w:type="dxa"/>
          </w:tcPr>
          <w:p w14:paraId="1C29B546" w14:textId="77777777" w:rsidR="006B6F17" w:rsidRPr="001C3193" w:rsidRDefault="006B6F17" w:rsidP="006B6F17">
            <w:pPr>
              <w:pStyle w:val="ICASBody"/>
              <w:jc w:val="center"/>
            </w:pPr>
            <w:r w:rsidRPr="001C3193">
              <w:t>4</w:t>
            </w:r>
          </w:p>
        </w:tc>
        <w:tc>
          <w:tcPr>
            <w:tcW w:w="1984" w:type="dxa"/>
            <w:vAlign w:val="center"/>
          </w:tcPr>
          <w:p w14:paraId="071BF62E" w14:textId="4F10A7A4" w:rsidR="006B6F17" w:rsidRPr="001C3193" w:rsidRDefault="006B6F17" w:rsidP="006B6F17">
            <w:pPr>
              <w:pStyle w:val="ICASBody"/>
              <w:jc w:val="center"/>
            </w:pPr>
            <w:r>
              <w:t>£1,500</w:t>
            </w:r>
          </w:p>
        </w:tc>
        <w:tc>
          <w:tcPr>
            <w:tcW w:w="1276" w:type="dxa"/>
            <w:tcBorders>
              <w:top w:val="nil"/>
              <w:bottom w:val="nil"/>
            </w:tcBorders>
          </w:tcPr>
          <w:p w14:paraId="56BFFB95" w14:textId="77777777" w:rsidR="006B6F17" w:rsidRPr="001C3193" w:rsidRDefault="006B6F17" w:rsidP="006B6F17">
            <w:pPr>
              <w:pStyle w:val="ICASBody"/>
              <w:jc w:val="center"/>
            </w:pPr>
          </w:p>
        </w:tc>
        <w:tc>
          <w:tcPr>
            <w:tcW w:w="1985" w:type="dxa"/>
          </w:tcPr>
          <w:p w14:paraId="1E2357CD" w14:textId="77777777" w:rsidR="006B6F17" w:rsidRPr="001C3193" w:rsidRDefault="006B6F17" w:rsidP="006B6F17">
            <w:pPr>
              <w:pStyle w:val="ICASBody"/>
              <w:jc w:val="center"/>
            </w:pPr>
            <w:r w:rsidRPr="001C3193">
              <w:t>4</w:t>
            </w:r>
          </w:p>
        </w:tc>
        <w:tc>
          <w:tcPr>
            <w:tcW w:w="1984" w:type="dxa"/>
            <w:vAlign w:val="center"/>
          </w:tcPr>
          <w:p w14:paraId="4CEC10B0" w14:textId="327ABCF5" w:rsidR="006B6F17" w:rsidRPr="001C3193" w:rsidRDefault="006B6F17" w:rsidP="006B6F17">
            <w:pPr>
              <w:pStyle w:val="ICASBody"/>
              <w:jc w:val="center"/>
            </w:pPr>
            <w:r>
              <w:t>£1,200</w:t>
            </w:r>
          </w:p>
        </w:tc>
      </w:tr>
      <w:tr w:rsidR="006B6F17" w14:paraId="01E78C59" w14:textId="77777777">
        <w:tc>
          <w:tcPr>
            <w:tcW w:w="1985" w:type="dxa"/>
          </w:tcPr>
          <w:p w14:paraId="6A562E73" w14:textId="77777777" w:rsidR="006B6F17" w:rsidRPr="001C3193" w:rsidRDefault="006B6F17" w:rsidP="006B6F17">
            <w:pPr>
              <w:pStyle w:val="ICASBody"/>
              <w:jc w:val="center"/>
            </w:pPr>
            <w:r w:rsidRPr="001C3193">
              <w:t>2</w:t>
            </w:r>
          </w:p>
        </w:tc>
        <w:tc>
          <w:tcPr>
            <w:tcW w:w="1984" w:type="dxa"/>
            <w:vAlign w:val="center"/>
          </w:tcPr>
          <w:p w14:paraId="0740F0B6" w14:textId="7EAECDA0" w:rsidR="006B6F17" w:rsidRPr="001C3193" w:rsidRDefault="006B6F17" w:rsidP="006B6F17">
            <w:pPr>
              <w:pStyle w:val="ICASBody"/>
              <w:jc w:val="center"/>
            </w:pPr>
            <w:r>
              <w:t>£3,000</w:t>
            </w:r>
          </w:p>
        </w:tc>
        <w:tc>
          <w:tcPr>
            <w:tcW w:w="1276" w:type="dxa"/>
            <w:tcBorders>
              <w:top w:val="nil"/>
              <w:bottom w:val="nil"/>
            </w:tcBorders>
          </w:tcPr>
          <w:p w14:paraId="615F1E0D" w14:textId="77777777" w:rsidR="006B6F17" w:rsidRPr="001C3193" w:rsidRDefault="006B6F17" w:rsidP="006B6F17">
            <w:pPr>
              <w:pStyle w:val="ICASBody"/>
              <w:jc w:val="center"/>
            </w:pPr>
          </w:p>
        </w:tc>
        <w:tc>
          <w:tcPr>
            <w:tcW w:w="1985" w:type="dxa"/>
          </w:tcPr>
          <w:p w14:paraId="1910D1CF" w14:textId="77777777" w:rsidR="006B6F17" w:rsidRPr="001C3193" w:rsidRDefault="006B6F17" w:rsidP="006B6F17">
            <w:pPr>
              <w:pStyle w:val="ICASBody"/>
              <w:jc w:val="center"/>
            </w:pPr>
            <w:r w:rsidRPr="001C3193">
              <w:t>2</w:t>
            </w:r>
          </w:p>
        </w:tc>
        <w:tc>
          <w:tcPr>
            <w:tcW w:w="1984" w:type="dxa"/>
            <w:vAlign w:val="center"/>
          </w:tcPr>
          <w:p w14:paraId="354DBA0E" w14:textId="5B8432F5" w:rsidR="006B6F17" w:rsidRPr="001C3193" w:rsidRDefault="006B6F17" w:rsidP="006B6F17">
            <w:pPr>
              <w:pStyle w:val="ICASBody"/>
              <w:jc w:val="center"/>
            </w:pPr>
            <w:r>
              <w:t>£2,500</w:t>
            </w:r>
          </w:p>
        </w:tc>
      </w:tr>
      <w:tr w:rsidR="006B6F17" w14:paraId="701B10EE" w14:textId="77777777">
        <w:tc>
          <w:tcPr>
            <w:tcW w:w="1985" w:type="dxa"/>
          </w:tcPr>
          <w:p w14:paraId="2AFFDCF8" w14:textId="77777777" w:rsidR="006B6F17" w:rsidRPr="001C3193" w:rsidRDefault="006B6F17" w:rsidP="006B6F17">
            <w:pPr>
              <w:pStyle w:val="ICASBody"/>
              <w:jc w:val="center"/>
            </w:pPr>
            <w:r>
              <w:t>1</w:t>
            </w:r>
          </w:p>
        </w:tc>
        <w:tc>
          <w:tcPr>
            <w:tcW w:w="1984" w:type="dxa"/>
            <w:vAlign w:val="center"/>
          </w:tcPr>
          <w:p w14:paraId="34CCD723" w14:textId="6BB23578" w:rsidR="006B6F17" w:rsidRPr="001C3193" w:rsidRDefault="006B6F17" w:rsidP="006B6F17">
            <w:pPr>
              <w:pStyle w:val="ICASBody"/>
              <w:jc w:val="center"/>
            </w:pPr>
            <w:r>
              <w:t>£6,000</w:t>
            </w:r>
          </w:p>
        </w:tc>
        <w:tc>
          <w:tcPr>
            <w:tcW w:w="1276" w:type="dxa"/>
            <w:tcBorders>
              <w:top w:val="nil"/>
              <w:bottom w:val="nil"/>
            </w:tcBorders>
          </w:tcPr>
          <w:p w14:paraId="3166174F" w14:textId="77777777" w:rsidR="006B6F17" w:rsidRPr="001C3193" w:rsidRDefault="006B6F17" w:rsidP="006B6F17">
            <w:pPr>
              <w:pStyle w:val="ICASBody"/>
              <w:jc w:val="center"/>
            </w:pPr>
          </w:p>
        </w:tc>
        <w:tc>
          <w:tcPr>
            <w:tcW w:w="1985" w:type="dxa"/>
          </w:tcPr>
          <w:p w14:paraId="3498F104" w14:textId="77777777" w:rsidR="006B6F17" w:rsidRPr="001C3193" w:rsidRDefault="006B6F17" w:rsidP="006B6F17">
            <w:pPr>
              <w:pStyle w:val="ICASBody"/>
              <w:jc w:val="center"/>
            </w:pPr>
            <w:r>
              <w:t>1</w:t>
            </w:r>
          </w:p>
        </w:tc>
        <w:tc>
          <w:tcPr>
            <w:tcW w:w="1984" w:type="dxa"/>
            <w:vAlign w:val="center"/>
          </w:tcPr>
          <w:p w14:paraId="6A62EC95" w14:textId="1B578A38" w:rsidR="006B6F17" w:rsidRPr="001C3193" w:rsidRDefault="006B6F17" w:rsidP="006B6F17">
            <w:pPr>
              <w:pStyle w:val="ICASBody"/>
              <w:jc w:val="center"/>
            </w:pPr>
            <w:r>
              <w:t>£5,000</w:t>
            </w:r>
          </w:p>
        </w:tc>
      </w:tr>
    </w:tbl>
    <w:p w14:paraId="6C771090" w14:textId="77777777" w:rsidR="00C2034B" w:rsidRDefault="00C2034B" w:rsidP="00E77272">
      <w:pPr>
        <w:pStyle w:val="ICASBody"/>
        <w:rPr>
          <w:b/>
          <w:bCs/>
        </w:rPr>
      </w:pPr>
    </w:p>
    <w:tbl>
      <w:tblPr>
        <w:tblStyle w:val="TableGrid"/>
        <w:tblW w:w="0" w:type="auto"/>
        <w:tblInd w:w="108" w:type="dxa"/>
        <w:tblLook w:val="04A0" w:firstRow="1" w:lastRow="0" w:firstColumn="1" w:lastColumn="0" w:noHBand="0" w:noVBand="1"/>
      </w:tblPr>
      <w:tblGrid>
        <w:gridCol w:w="1985"/>
        <w:gridCol w:w="1984"/>
        <w:gridCol w:w="1276"/>
        <w:gridCol w:w="1985"/>
        <w:gridCol w:w="1984"/>
      </w:tblGrid>
      <w:tr w:rsidR="0026175F" w14:paraId="22A5A49E" w14:textId="77777777">
        <w:tc>
          <w:tcPr>
            <w:tcW w:w="3969" w:type="dxa"/>
            <w:gridSpan w:val="2"/>
          </w:tcPr>
          <w:p w14:paraId="449B4481" w14:textId="03440B63" w:rsidR="0026175F" w:rsidRDefault="0026175F">
            <w:pPr>
              <w:pStyle w:val="ICASBody"/>
              <w:rPr>
                <w:b/>
                <w:bCs/>
              </w:rPr>
            </w:pPr>
            <w:r>
              <w:rPr>
                <w:b/>
                <w:bCs/>
              </w:rPr>
              <w:t>Interest</w:t>
            </w:r>
            <w:r w:rsidRPr="006C193C">
              <w:rPr>
                <w:b/>
                <w:bCs/>
              </w:rPr>
              <w:t xml:space="preserve"> rate </w:t>
            </w:r>
            <w:r>
              <w:rPr>
                <w:b/>
                <w:bCs/>
              </w:rPr>
              <w:t>&gt;</w:t>
            </w:r>
            <w:r w:rsidR="002C4068">
              <w:rPr>
                <w:b/>
                <w:bCs/>
              </w:rPr>
              <w:t>5</w:t>
            </w:r>
            <w:r w:rsidRPr="006C193C">
              <w:rPr>
                <w:b/>
                <w:bCs/>
              </w:rPr>
              <w:t>%</w:t>
            </w:r>
            <w:r>
              <w:rPr>
                <w:b/>
                <w:bCs/>
              </w:rPr>
              <w:t xml:space="preserve"> - </w:t>
            </w:r>
            <w:r w:rsidR="002C4068">
              <w:rPr>
                <w:b/>
                <w:bCs/>
              </w:rPr>
              <w:t>7</w:t>
            </w:r>
            <w:r>
              <w:rPr>
                <w:b/>
                <w:bCs/>
              </w:rPr>
              <w:t>%</w:t>
            </w:r>
          </w:p>
        </w:tc>
        <w:tc>
          <w:tcPr>
            <w:tcW w:w="1276" w:type="dxa"/>
            <w:tcBorders>
              <w:top w:val="nil"/>
              <w:bottom w:val="nil"/>
            </w:tcBorders>
          </w:tcPr>
          <w:p w14:paraId="139FD358" w14:textId="77777777" w:rsidR="0026175F" w:rsidRDefault="0026175F">
            <w:pPr>
              <w:pStyle w:val="ICASBody"/>
              <w:rPr>
                <w:b/>
                <w:bCs/>
              </w:rPr>
            </w:pPr>
          </w:p>
        </w:tc>
        <w:tc>
          <w:tcPr>
            <w:tcW w:w="3969" w:type="dxa"/>
            <w:gridSpan w:val="2"/>
          </w:tcPr>
          <w:p w14:paraId="757B9F92" w14:textId="47619615" w:rsidR="0026175F" w:rsidRDefault="0026175F">
            <w:pPr>
              <w:pStyle w:val="ICASBody"/>
              <w:rPr>
                <w:b/>
                <w:bCs/>
              </w:rPr>
            </w:pPr>
            <w:r>
              <w:rPr>
                <w:b/>
                <w:bCs/>
              </w:rPr>
              <w:t>Interest</w:t>
            </w:r>
            <w:r w:rsidRPr="006C193C">
              <w:rPr>
                <w:b/>
                <w:bCs/>
              </w:rPr>
              <w:t xml:space="preserve"> rate </w:t>
            </w:r>
            <w:r>
              <w:rPr>
                <w:b/>
                <w:bCs/>
              </w:rPr>
              <w:t>&gt;</w:t>
            </w:r>
            <w:r w:rsidR="002C4068">
              <w:rPr>
                <w:b/>
                <w:bCs/>
              </w:rPr>
              <w:t>7</w:t>
            </w:r>
            <w:r w:rsidR="00CE4341">
              <w:rPr>
                <w:b/>
                <w:bCs/>
              </w:rPr>
              <w:t>%</w:t>
            </w:r>
          </w:p>
        </w:tc>
      </w:tr>
      <w:tr w:rsidR="0026175F" w14:paraId="47103313" w14:textId="77777777">
        <w:tc>
          <w:tcPr>
            <w:tcW w:w="1985" w:type="dxa"/>
          </w:tcPr>
          <w:p w14:paraId="47A90F8C" w14:textId="77777777" w:rsidR="0026175F" w:rsidRDefault="0026175F">
            <w:pPr>
              <w:pStyle w:val="ICASBody"/>
              <w:jc w:val="center"/>
              <w:rPr>
                <w:b/>
                <w:bCs/>
              </w:rPr>
            </w:pPr>
            <w:r>
              <w:rPr>
                <w:b/>
                <w:bCs/>
              </w:rPr>
              <w:t>Number of weeks</w:t>
            </w:r>
          </w:p>
        </w:tc>
        <w:tc>
          <w:tcPr>
            <w:tcW w:w="1984" w:type="dxa"/>
          </w:tcPr>
          <w:p w14:paraId="3BC65902" w14:textId="77777777" w:rsidR="0026175F" w:rsidRDefault="0026175F">
            <w:pPr>
              <w:pStyle w:val="ICASBody"/>
              <w:jc w:val="center"/>
              <w:rPr>
                <w:b/>
                <w:bCs/>
              </w:rPr>
            </w:pPr>
            <w:r>
              <w:rPr>
                <w:b/>
                <w:bCs/>
              </w:rPr>
              <w:t>Minimum balance</w:t>
            </w:r>
          </w:p>
        </w:tc>
        <w:tc>
          <w:tcPr>
            <w:tcW w:w="1276" w:type="dxa"/>
            <w:tcBorders>
              <w:top w:val="nil"/>
              <w:bottom w:val="nil"/>
            </w:tcBorders>
          </w:tcPr>
          <w:p w14:paraId="435171D3" w14:textId="77777777" w:rsidR="0026175F" w:rsidRDefault="0026175F">
            <w:pPr>
              <w:pStyle w:val="ICASBody"/>
              <w:jc w:val="center"/>
              <w:rPr>
                <w:b/>
                <w:bCs/>
              </w:rPr>
            </w:pPr>
          </w:p>
        </w:tc>
        <w:tc>
          <w:tcPr>
            <w:tcW w:w="1985" w:type="dxa"/>
          </w:tcPr>
          <w:p w14:paraId="26888C29" w14:textId="77777777" w:rsidR="0026175F" w:rsidRDefault="0026175F">
            <w:pPr>
              <w:pStyle w:val="ICASBody"/>
              <w:jc w:val="center"/>
              <w:rPr>
                <w:b/>
                <w:bCs/>
              </w:rPr>
            </w:pPr>
            <w:r>
              <w:rPr>
                <w:b/>
                <w:bCs/>
              </w:rPr>
              <w:t>Number of weeks</w:t>
            </w:r>
          </w:p>
        </w:tc>
        <w:tc>
          <w:tcPr>
            <w:tcW w:w="1984" w:type="dxa"/>
          </w:tcPr>
          <w:p w14:paraId="5F75D8EF" w14:textId="77777777" w:rsidR="0026175F" w:rsidRDefault="0026175F">
            <w:pPr>
              <w:pStyle w:val="ICASBody"/>
              <w:jc w:val="center"/>
              <w:rPr>
                <w:b/>
                <w:bCs/>
              </w:rPr>
            </w:pPr>
            <w:r>
              <w:rPr>
                <w:b/>
                <w:bCs/>
              </w:rPr>
              <w:t>Minimum balance</w:t>
            </w:r>
          </w:p>
        </w:tc>
      </w:tr>
      <w:tr w:rsidR="0026175F" w14:paraId="7DA2ECAB" w14:textId="77777777">
        <w:tc>
          <w:tcPr>
            <w:tcW w:w="1985" w:type="dxa"/>
          </w:tcPr>
          <w:p w14:paraId="5384291B" w14:textId="77777777" w:rsidR="0026175F" w:rsidRPr="001C3193" w:rsidRDefault="0026175F">
            <w:pPr>
              <w:pStyle w:val="ICASBody"/>
              <w:jc w:val="center"/>
            </w:pPr>
            <w:r w:rsidRPr="001C3193">
              <w:t>8</w:t>
            </w:r>
          </w:p>
        </w:tc>
        <w:tc>
          <w:tcPr>
            <w:tcW w:w="1984" w:type="dxa"/>
            <w:vAlign w:val="center"/>
          </w:tcPr>
          <w:p w14:paraId="1029DC69" w14:textId="4D16C4AC" w:rsidR="0026175F" w:rsidRPr="001C3193" w:rsidRDefault="0026175F">
            <w:pPr>
              <w:pStyle w:val="ICASBody"/>
              <w:jc w:val="center"/>
            </w:pPr>
            <w:r>
              <w:t>£</w:t>
            </w:r>
            <w:r w:rsidR="002C4068">
              <w:t>4</w:t>
            </w:r>
            <w:r>
              <w:t>00</w:t>
            </w:r>
          </w:p>
        </w:tc>
        <w:tc>
          <w:tcPr>
            <w:tcW w:w="1276" w:type="dxa"/>
            <w:tcBorders>
              <w:top w:val="nil"/>
              <w:bottom w:val="nil"/>
            </w:tcBorders>
          </w:tcPr>
          <w:p w14:paraId="30F95554" w14:textId="77777777" w:rsidR="0026175F" w:rsidRPr="001C3193" w:rsidRDefault="0026175F">
            <w:pPr>
              <w:pStyle w:val="ICASBody"/>
              <w:jc w:val="center"/>
            </w:pPr>
          </w:p>
        </w:tc>
        <w:tc>
          <w:tcPr>
            <w:tcW w:w="1985" w:type="dxa"/>
          </w:tcPr>
          <w:p w14:paraId="684B3F4B" w14:textId="77777777" w:rsidR="0026175F" w:rsidRPr="001C3193" w:rsidRDefault="0026175F">
            <w:pPr>
              <w:pStyle w:val="ICASBody"/>
              <w:jc w:val="center"/>
            </w:pPr>
            <w:r w:rsidRPr="001C3193">
              <w:t>8</w:t>
            </w:r>
          </w:p>
        </w:tc>
        <w:tc>
          <w:tcPr>
            <w:tcW w:w="1984" w:type="dxa"/>
            <w:vAlign w:val="center"/>
          </w:tcPr>
          <w:p w14:paraId="29C820E6" w14:textId="496309B1" w:rsidR="0026175F" w:rsidRPr="001C3193" w:rsidRDefault="0026175F">
            <w:pPr>
              <w:pStyle w:val="ICASBody"/>
              <w:jc w:val="center"/>
            </w:pPr>
            <w:r>
              <w:t>£</w:t>
            </w:r>
            <w:r w:rsidR="00C64090">
              <w:t>3</w:t>
            </w:r>
            <w:r>
              <w:t>00</w:t>
            </w:r>
          </w:p>
        </w:tc>
      </w:tr>
      <w:tr w:rsidR="0026175F" w14:paraId="7A2F48B0" w14:textId="77777777">
        <w:tc>
          <w:tcPr>
            <w:tcW w:w="1985" w:type="dxa"/>
          </w:tcPr>
          <w:p w14:paraId="6E5E6982" w14:textId="77777777" w:rsidR="0026175F" w:rsidRPr="001C3193" w:rsidRDefault="0026175F">
            <w:pPr>
              <w:pStyle w:val="ICASBody"/>
              <w:jc w:val="center"/>
            </w:pPr>
            <w:r w:rsidRPr="001C3193">
              <w:t>6</w:t>
            </w:r>
          </w:p>
        </w:tc>
        <w:tc>
          <w:tcPr>
            <w:tcW w:w="1984" w:type="dxa"/>
            <w:vAlign w:val="center"/>
          </w:tcPr>
          <w:p w14:paraId="37029723" w14:textId="494027A4" w:rsidR="0026175F" w:rsidRPr="001C3193" w:rsidRDefault="0026175F">
            <w:pPr>
              <w:pStyle w:val="ICASBody"/>
              <w:jc w:val="center"/>
            </w:pPr>
            <w:r>
              <w:t>£</w:t>
            </w:r>
            <w:r w:rsidR="002C4068">
              <w:t>60</w:t>
            </w:r>
            <w:r>
              <w:t>0</w:t>
            </w:r>
          </w:p>
        </w:tc>
        <w:tc>
          <w:tcPr>
            <w:tcW w:w="1276" w:type="dxa"/>
            <w:tcBorders>
              <w:top w:val="nil"/>
              <w:bottom w:val="nil"/>
            </w:tcBorders>
          </w:tcPr>
          <w:p w14:paraId="796CFDBE" w14:textId="77777777" w:rsidR="0026175F" w:rsidRPr="001C3193" w:rsidRDefault="0026175F">
            <w:pPr>
              <w:pStyle w:val="ICASBody"/>
              <w:jc w:val="center"/>
            </w:pPr>
          </w:p>
        </w:tc>
        <w:tc>
          <w:tcPr>
            <w:tcW w:w="1985" w:type="dxa"/>
          </w:tcPr>
          <w:p w14:paraId="654F4EAB" w14:textId="77777777" w:rsidR="0026175F" w:rsidRPr="001C3193" w:rsidRDefault="0026175F">
            <w:pPr>
              <w:pStyle w:val="ICASBody"/>
              <w:jc w:val="center"/>
            </w:pPr>
            <w:r w:rsidRPr="001C3193">
              <w:t>6</w:t>
            </w:r>
          </w:p>
        </w:tc>
        <w:tc>
          <w:tcPr>
            <w:tcW w:w="1984" w:type="dxa"/>
            <w:vAlign w:val="center"/>
          </w:tcPr>
          <w:p w14:paraId="2E89DEA6" w14:textId="4485AD86" w:rsidR="0026175F" w:rsidRPr="001C3193" w:rsidRDefault="0026175F">
            <w:pPr>
              <w:pStyle w:val="ICASBody"/>
              <w:jc w:val="center"/>
            </w:pPr>
            <w:r>
              <w:t>£</w:t>
            </w:r>
            <w:r w:rsidR="00C64090">
              <w:t>4</w:t>
            </w:r>
            <w:r>
              <w:t>00</w:t>
            </w:r>
          </w:p>
        </w:tc>
      </w:tr>
      <w:tr w:rsidR="0026175F" w14:paraId="507D5F51" w14:textId="77777777">
        <w:tc>
          <w:tcPr>
            <w:tcW w:w="1985" w:type="dxa"/>
          </w:tcPr>
          <w:p w14:paraId="03048599" w14:textId="77777777" w:rsidR="0026175F" w:rsidRPr="001C3193" w:rsidRDefault="0026175F">
            <w:pPr>
              <w:pStyle w:val="ICASBody"/>
              <w:jc w:val="center"/>
            </w:pPr>
            <w:r w:rsidRPr="001C3193">
              <w:t>4</w:t>
            </w:r>
          </w:p>
        </w:tc>
        <w:tc>
          <w:tcPr>
            <w:tcW w:w="1984" w:type="dxa"/>
            <w:vAlign w:val="center"/>
          </w:tcPr>
          <w:p w14:paraId="5F85E338" w14:textId="7CBFCD0D" w:rsidR="0026175F" w:rsidRPr="001C3193" w:rsidRDefault="0026175F">
            <w:pPr>
              <w:pStyle w:val="ICASBody"/>
              <w:jc w:val="center"/>
            </w:pPr>
            <w:r>
              <w:t>£</w:t>
            </w:r>
            <w:r w:rsidR="002C4068">
              <w:t>9</w:t>
            </w:r>
            <w:r>
              <w:t>00</w:t>
            </w:r>
          </w:p>
        </w:tc>
        <w:tc>
          <w:tcPr>
            <w:tcW w:w="1276" w:type="dxa"/>
            <w:tcBorders>
              <w:top w:val="nil"/>
              <w:bottom w:val="nil"/>
            </w:tcBorders>
          </w:tcPr>
          <w:p w14:paraId="2E6AD4BB" w14:textId="77777777" w:rsidR="0026175F" w:rsidRPr="001C3193" w:rsidRDefault="0026175F">
            <w:pPr>
              <w:pStyle w:val="ICASBody"/>
              <w:jc w:val="center"/>
            </w:pPr>
          </w:p>
        </w:tc>
        <w:tc>
          <w:tcPr>
            <w:tcW w:w="1985" w:type="dxa"/>
          </w:tcPr>
          <w:p w14:paraId="536FDE4D" w14:textId="77777777" w:rsidR="0026175F" w:rsidRPr="001C3193" w:rsidRDefault="0026175F">
            <w:pPr>
              <w:pStyle w:val="ICASBody"/>
              <w:jc w:val="center"/>
            </w:pPr>
            <w:r w:rsidRPr="001C3193">
              <w:t>4</w:t>
            </w:r>
          </w:p>
        </w:tc>
        <w:tc>
          <w:tcPr>
            <w:tcW w:w="1984" w:type="dxa"/>
            <w:vAlign w:val="center"/>
          </w:tcPr>
          <w:p w14:paraId="05B01E0C" w14:textId="6A69875D" w:rsidR="0026175F" w:rsidRPr="001C3193" w:rsidRDefault="0026175F">
            <w:pPr>
              <w:pStyle w:val="ICASBody"/>
              <w:jc w:val="center"/>
            </w:pPr>
            <w:r>
              <w:t>£</w:t>
            </w:r>
            <w:r w:rsidR="00C64090">
              <w:t>6</w:t>
            </w:r>
            <w:r>
              <w:t>00</w:t>
            </w:r>
          </w:p>
        </w:tc>
      </w:tr>
      <w:tr w:rsidR="0026175F" w14:paraId="0D892D1D" w14:textId="77777777">
        <w:tc>
          <w:tcPr>
            <w:tcW w:w="1985" w:type="dxa"/>
          </w:tcPr>
          <w:p w14:paraId="74BE7FAA" w14:textId="77777777" w:rsidR="0026175F" w:rsidRPr="001C3193" w:rsidRDefault="0026175F">
            <w:pPr>
              <w:pStyle w:val="ICASBody"/>
              <w:jc w:val="center"/>
            </w:pPr>
            <w:r w:rsidRPr="001C3193">
              <w:t>2</w:t>
            </w:r>
          </w:p>
        </w:tc>
        <w:tc>
          <w:tcPr>
            <w:tcW w:w="1984" w:type="dxa"/>
            <w:vAlign w:val="center"/>
          </w:tcPr>
          <w:p w14:paraId="4B348369" w14:textId="6A0FA8BC" w:rsidR="0026175F" w:rsidRPr="001C3193" w:rsidRDefault="0026175F">
            <w:pPr>
              <w:pStyle w:val="ICASBody"/>
              <w:jc w:val="center"/>
            </w:pPr>
            <w:r>
              <w:t>£</w:t>
            </w:r>
            <w:r w:rsidR="00C64090">
              <w:t>2</w:t>
            </w:r>
            <w:r>
              <w:t>,000</w:t>
            </w:r>
          </w:p>
        </w:tc>
        <w:tc>
          <w:tcPr>
            <w:tcW w:w="1276" w:type="dxa"/>
            <w:tcBorders>
              <w:top w:val="nil"/>
              <w:bottom w:val="nil"/>
            </w:tcBorders>
          </w:tcPr>
          <w:p w14:paraId="38A2274A" w14:textId="77777777" w:rsidR="0026175F" w:rsidRPr="001C3193" w:rsidRDefault="0026175F">
            <w:pPr>
              <w:pStyle w:val="ICASBody"/>
              <w:jc w:val="center"/>
            </w:pPr>
          </w:p>
        </w:tc>
        <w:tc>
          <w:tcPr>
            <w:tcW w:w="1985" w:type="dxa"/>
          </w:tcPr>
          <w:p w14:paraId="3FCA1B0C" w14:textId="77777777" w:rsidR="0026175F" w:rsidRPr="001C3193" w:rsidRDefault="0026175F">
            <w:pPr>
              <w:pStyle w:val="ICASBody"/>
              <w:jc w:val="center"/>
            </w:pPr>
            <w:r w:rsidRPr="001C3193">
              <w:t>2</w:t>
            </w:r>
          </w:p>
        </w:tc>
        <w:tc>
          <w:tcPr>
            <w:tcW w:w="1984" w:type="dxa"/>
            <w:vAlign w:val="center"/>
          </w:tcPr>
          <w:p w14:paraId="477C7B0B" w14:textId="2735A884" w:rsidR="0026175F" w:rsidRPr="001C3193" w:rsidRDefault="0026175F">
            <w:pPr>
              <w:pStyle w:val="ICASBody"/>
              <w:jc w:val="center"/>
            </w:pPr>
            <w:r>
              <w:t>£</w:t>
            </w:r>
            <w:r w:rsidR="00C64090">
              <w:t>1</w:t>
            </w:r>
            <w:r>
              <w:t>,</w:t>
            </w:r>
            <w:r w:rsidR="00C64090">
              <w:t>2</w:t>
            </w:r>
            <w:r>
              <w:t>00</w:t>
            </w:r>
          </w:p>
        </w:tc>
      </w:tr>
      <w:tr w:rsidR="0026175F" w14:paraId="30DDA17C" w14:textId="77777777">
        <w:tc>
          <w:tcPr>
            <w:tcW w:w="1985" w:type="dxa"/>
          </w:tcPr>
          <w:p w14:paraId="62947C63" w14:textId="77777777" w:rsidR="0026175F" w:rsidRPr="001C3193" w:rsidRDefault="0026175F">
            <w:pPr>
              <w:pStyle w:val="ICASBody"/>
              <w:jc w:val="center"/>
            </w:pPr>
            <w:r>
              <w:t>1</w:t>
            </w:r>
          </w:p>
        </w:tc>
        <w:tc>
          <w:tcPr>
            <w:tcW w:w="1984" w:type="dxa"/>
            <w:vAlign w:val="center"/>
          </w:tcPr>
          <w:p w14:paraId="7574CD69" w14:textId="1306A1B3" w:rsidR="0026175F" w:rsidRPr="001C3193" w:rsidRDefault="0026175F">
            <w:pPr>
              <w:pStyle w:val="ICASBody"/>
              <w:jc w:val="center"/>
            </w:pPr>
            <w:r>
              <w:t>£</w:t>
            </w:r>
            <w:r w:rsidR="00C64090">
              <w:t>3</w:t>
            </w:r>
            <w:r>
              <w:t>,</w:t>
            </w:r>
            <w:r w:rsidR="00C64090">
              <w:t>5</w:t>
            </w:r>
            <w:r>
              <w:t>00</w:t>
            </w:r>
          </w:p>
        </w:tc>
        <w:tc>
          <w:tcPr>
            <w:tcW w:w="1276" w:type="dxa"/>
            <w:tcBorders>
              <w:top w:val="nil"/>
              <w:bottom w:val="nil"/>
            </w:tcBorders>
          </w:tcPr>
          <w:p w14:paraId="1CF9211E" w14:textId="77777777" w:rsidR="0026175F" w:rsidRPr="001C3193" w:rsidRDefault="0026175F">
            <w:pPr>
              <w:pStyle w:val="ICASBody"/>
              <w:jc w:val="center"/>
            </w:pPr>
          </w:p>
        </w:tc>
        <w:tc>
          <w:tcPr>
            <w:tcW w:w="1985" w:type="dxa"/>
          </w:tcPr>
          <w:p w14:paraId="1C784C00" w14:textId="77777777" w:rsidR="0026175F" w:rsidRPr="001C3193" w:rsidRDefault="0026175F">
            <w:pPr>
              <w:pStyle w:val="ICASBody"/>
              <w:jc w:val="center"/>
            </w:pPr>
            <w:r>
              <w:t>1</w:t>
            </w:r>
          </w:p>
        </w:tc>
        <w:tc>
          <w:tcPr>
            <w:tcW w:w="1984" w:type="dxa"/>
            <w:vAlign w:val="center"/>
          </w:tcPr>
          <w:p w14:paraId="4E085625" w14:textId="63F6B655" w:rsidR="0026175F" w:rsidRPr="001C3193" w:rsidRDefault="0026175F">
            <w:pPr>
              <w:pStyle w:val="ICASBody"/>
              <w:jc w:val="center"/>
            </w:pPr>
            <w:r>
              <w:t>£</w:t>
            </w:r>
            <w:r w:rsidR="00C64090">
              <w:t>2</w:t>
            </w:r>
            <w:r>
              <w:t>,</w:t>
            </w:r>
            <w:r w:rsidR="00C64090">
              <w:t>5</w:t>
            </w:r>
            <w:r>
              <w:t>00</w:t>
            </w:r>
          </w:p>
        </w:tc>
      </w:tr>
    </w:tbl>
    <w:p w14:paraId="65107D14" w14:textId="77777777" w:rsidR="0026175F" w:rsidRDefault="0026175F" w:rsidP="00E77272">
      <w:pPr>
        <w:pStyle w:val="ICASBody"/>
        <w:rPr>
          <w:b/>
          <w:bCs/>
        </w:rPr>
      </w:pPr>
    </w:p>
    <w:p w14:paraId="7F1AFEF9" w14:textId="77777777" w:rsidR="00BA3678" w:rsidRDefault="00BA3678" w:rsidP="00E77272">
      <w:pPr>
        <w:pStyle w:val="ICASBody"/>
      </w:pPr>
      <w:r w:rsidRPr="00263A04">
        <w:t>Where funds are</w:t>
      </w:r>
      <w:r>
        <w:t xml:space="preserve"> deposited </w:t>
      </w:r>
      <w:r w:rsidRPr="00701441">
        <w:t xml:space="preserve">into an interest-bearing bank account, </w:t>
      </w:r>
      <w:r>
        <w:t>even where the interest rates are extremely low, all clients must receive their share of the interest credited</w:t>
      </w:r>
      <w:r w:rsidRPr="00701441">
        <w:t>, unless a</w:t>
      </w:r>
      <w:r>
        <w:t xml:space="preserve">n alternative arrangement </w:t>
      </w:r>
      <w:r w:rsidRPr="00701441">
        <w:t xml:space="preserve">such as only paying interest above a certain level </w:t>
      </w:r>
      <w:r>
        <w:t xml:space="preserve">is agreed in writing with </w:t>
      </w:r>
      <w:r w:rsidRPr="00701441">
        <w:t>the client.</w:t>
      </w:r>
    </w:p>
    <w:p w14:paraId="49B48294" w14:textId="77777777" w:rsidR="00BA3678" w:rsidRDefault="00BA3678" w:rsidP="00E77272">
      <w:pPr>
        <w:pStyle w:val="ICASBody"/>
      </w:pPr>
      <w:r w:rsidRPr="00447A80">
        <w:t xml:space="preserve">Where the firm and client agree in writing different arrangements for the payment of interest on </w:t>
      </w:r>
      <w:r>
        <w:t>c</w:t>
      </w:r>
      <w:r w:rsidRPr="00447A80">
        <w:t xml:space="preserve">lient </w:t>
      </w:r>
      <w:r>
        <w:t>m</w:t>
      </w:r>
      <w:r w:rsidRPr="00447A80">
        <w:t>oney held, this may be included in the engagement letter with the client.</w:t>
      </w:r>
    </w:p>
    <w:p w14:paraId="2D0245CD" w14:textId="77777777" w:rsidR="00BA3678" w:rsidRDefault="00BA3678" w:rsidP="00E77272">
      <w:pPr>
        <w:pStyle w:val="ICASBody"/>
      </w:pPr>
      <w:r w:rsidRPr="009A6E84">
        <w:t xml:space="preserve">Consideration must be given to any income tax implications relating to interest received and paid on </w:t>
      </w:r>
      <w:r>
        <w:t>c</w:t>
      </w:r>
      <w:r w:rsidRPr="009A6E84">
        <w:t xml:space="preserve">lient </w:t>
      </w:r>
      <w:r>
        <w:t>b</w:t>
      </w:r>
      <w:r w:rsidRPr="009A6E84">
        <w:t xml:space="preserve">ank </w:t>
      </w:r>
      <w:r>
        <w:t>a</w:t>
      </w:r>
      <w:r w:rsidRPr="009A6E84">
        <w:t>ccounts.</w:t>
      </w:r>
    </w:p>
    <w:p w14:paraId="4B3CA1BD" w14:textId="77777777" w:rsidR="00BA3678" w:rsidRPr="00182AA5" w:rsidRDefault="00BA3678" w:rsidP="00E77272">
      <w:pPr>
        <w:pStyle w:val="ICASBody"/>
        <w:rPr>
          <w:color w:val="333333"/>
        </w:rPr>
      </w:pPr>
      <w:r>
        <w:lastRenderedPageBreak/>
        <w:t>The above general provisions do not apply to clients’ money held by a firm as stakeholder. The firm may not earn interest for itself on such monies unless the firm and client agree this in writing.</w:t>
      </w:r>
    </w:p>
    <w:p w14:paraId="7015A873" w14:textId="77777777" w:rsidR="00BA3678" w:rsidRDefault="00BA3678" w:rsidP="00CE4341">
      <w:pPr>
        <w:pStyle w:val="Heading2"/>
      </w:pPr>
      <w:r>
        <w:t>Dealing with funds which cannot be traced to a client or where the client’s whereabouts is unknown</w:t>
      </w:r>
    </w:p>
    <w:p w14:paraId="09EC26FC" w14:textId="77777777" w:rsidR="00BA3678" w:rsidRDefault="00BA3678" w:rsidP="00CE4341">
      <w:pPr>
        <w:pStyle w:val="ICASBody"/>
      </w:pPr>
      <w:r w:rsidRPr="00BE7DF7">
        <w:t xml:space="preserve">Where clients’ money cannot be attributed to identifiable clients or cannot be sent to them because their whereabouts are unknown, this </w:t>
      </w:r>
      <w:r>
        <w:t>money is referred to within the CMR as ‘unclaimed money’</w:t>
      </w:r>
      <w:r w:rsidRPr="00BE7DF7">
        <w:t>.</w:t>
      </w:r>
    </w:p>
    <w:p w14:paraId="43A057E8" w14:textId="77777777" w:rsidR="00BA3678" w:rsidRDefault="00BA3678" w:rsidP="00CE4341">
      <w:pPr>
        <w:pStyle w:val="ICASBody"/>
      </w:pPr>
      <w:r w:rsidRPr="00BE7DF7">
        <w:t>To m</w:t>
      </w:r>
      <w:r>
        <w:t>i</w:t>
      </w:r>
      <w:r w:rsidRPr="00BE7DF7">
        <w:t>nimise the likelihood of this occurring</w:t>
      </w:r>
      <w:r>
        <w:t>, it perhaps goes without saying that</w:t>
      </w:r>
      <w:r w:rsidRPr="00BE7DF7">
        <w:t xml:space="preserve"> </w:t>
      </w:r>
      <w:r>
        <w:t xml:space="preserve">firms </w:t>
      </w:r>
      <w:r w:rsidRPr="00BE7DF7">
        <w:t xml:space="preserve">should always make sure that clients’ money </w:t>
      </w:r>
      <w:r>
        <w:t xml:space="preserve">is remitted out of the client bank account to its rightful recipient </w:t>
      </w:r>
      <w:r w:rsidRPr="00BE7DF7">
        <w:t>as soon as possible.</w:t>
      </w:r>
    </w:p>
    <w:p w14:paraId="79592842" w14:textId="77777777" w:rsidR="00BA3678" w:rsidRPr="006A5AEF" w:rsidRDefault="00BA3678" w:rsidP="00CE4341">
      <w:pPr>
        <w:pStyle w:val="ICASBody"/>
      </w:pPr>
      <w:r>
        <w:t xml:space="preserve">Where amounts are identified as being held within a client bank account for a long period these should </w:t>
      </w:r>
      <w:r w:rsidRPr="006A5AEF">
        <w:t xml:space="preserve">either </w:t>
      </w:r>
      <w:r>
        <w:t xml:space="preserve">be transferred </w:t>
      </w:r>
      <w:r w:rsidRPr="006A5AEF">
        <w:t>in accordance with the nature of the amounts or return</w:t>
      </w:r>
      <w:r>
        <w:t xml:space="preserve">ed </w:t>
      </w:r>
      <w:r w:rsidRPr="006A5AEF">
        <w:t xml:space="preserve">to the client. </w:t>
      </w:r>
    </w:p>
    <w:p w14:paraId="6C6A6908" w14:textId="2BD4A03E" w:rsidR="00BA3678" w:rsidRPr="006A5AEF" w:rsidRDefault="00BA3678" w:rsidP="00CE4341">
      <w:pPr>
        <w:pStyle w:val="ICASBody"/>
      </w:pPr>
      <w:r w:rsidRPr="006A5AEF">
        <w:t>The client should not lose a material sum of interest because the money has remained in a low or non-</w:t>
      </w:r>
      <w:r w:rsidR="00CE4341" w:rsidRPr="006A5AEF">
        <w:t>interest-bearing</w:t>
      </w:r>
      <w:r w:rsidRPr="006A5AEF">
        <w:t xml:space="preserve"> account. The interest due, therefore, needs to be calculated and accounted for to the client.</w:t>
      </w:r>
    </w:p>
    <w:p w14:paraId="494C37E4" w14:textId="77777777" w:rsidR="00BA3678" w:rsidRDefault="00BA3678" w:rsidP="00CE4341">
      <w:pPr>
        <w:pStyle w:val="ICASBody"/>
        <w:rPr>
          <w:b/>
          <w:bCs/>
          <w:sz w:val="22"/>
          <w:szCs w:val="22"/>
        </w:rPr>
      </w:pPr>
      <w:r w:rsidRPr="00BE7DF7">
        <w:t>It may be appropriate, before accepting funds from clients, to enter into an agreement in writing</w:t>
      </w:r>
      <w:r>
        <w:t>, either in the engagement letter or otherwise,</w:t>
      </w:r>
      <w:r w:rsidRPr="00BE7DF7">
        <w:t xml:space="preserve"> as to how the money should be dealt with should circumstances arise</w:t>
      </w:r>
      <w:r>
        <w:t xml:space="preserve"> where funds are </w:t>
      </w:r>
      <w:proofErr w:type="gramStart"/>
      <w:r>
        <w:t>held</w:t>
      </w:r>
      <w:proofErr w:type="gramEnd"/>
      <w:r>
        <w:t xml:space="preserve"> and it is no longer possible to remit funds to the client</w:t>
      </w:r>
      <w:r w:rsidRPr="00BE7DF7">
        <w:t xml:space="preserve">. </w:t>
      </w:r>
      <w:r>
        <w:t xml:space="preserve">You </w:t>
      </w:r>
      <w:r w:rsidRPr="00BE7DF7">
        <w:t>could</w:t>
      </w:r>
      <w:r>
        <w:t>, for example,</w:t>
      </w:r>
      <w:r w:rsidRPr="00BE7DF7">
        <w:t xml:space="preserve"> agree that sums under a certain amount be donated to charity.</w:t>
      </w:r>
      <w:r>
        <w:t xml:space="preserve"> It is permissible for such written agreements to be incorporated within letters of engagement.</w:t>
      </w:r>
    </w:p>
    <w:p w14:paraId="0C08F388" w14:textId="4F72961C" w:rsidR="00BA3678" w:rsidRPr="00FF76C5" w:rsidRDefault="00BA3678" w:rsidP="00CE4341">
      <w:pPr>
        <w:pStyle w:val="ICASBody"/>
      </w:pPr>
      <w:r w:rsidRPr="00886CC5">
        <w:t xml:space="preserve">A </w:t>
      </w:r>
      <w:r>
        <w:t>f</w:t>
      </w:r>
      <w:r w:rsidRPr="00886CC5">
        <w:t xml:space="preserve">irm may treat </w:t>
      </w:r>
      <w:r>
        <w:t>c</w:t>
      </w:r>
      <w:r w:rsidRPr="00886CC5">
        <w:t>lients</w:t>
      </w:r>
      <w:r w:rsidR="00CE4341">
        <w:t>’</w:t>
      </w:r>
      <w:r w:rsidRPr="00886CC5">
        <w:t xml:space="preserve"> </w:t>
      </w:r>
      <w:r>
        <w:t>m</w:t>
      </w:r>
      <w:r w:rsidRPr="00886CC5">
        <w:t xml:space="preserve">oney as </w:t>
      </w:r>
      <w:r>
        <w:t>u</w:t>
      </w:r>
      <w:r w:rsidRPr="00886CC5">
        <w:t xml:space="preserve">nclaimed </w:t>
      </w:r>
      <w:r>
        <w:t>m</w:t>
      </w:r>
      <w:r w:rsidRPr="00886CC5">
        <w:t>oney only where the sums remain unclaimed</w:t>
      </w:r>
      <w:r>
        <w:t xml:space="preserve"> </w:t>
      </w:r>
      <w:r w:rsidRPr="00886CC5">
        <w:t xml:space="preserve">following the taking of reasonable and proportionate steps by the </w:t>
      </w:r>
      <w:r>
        <w:t>f</w:t>
      </w:r>
      <w:r w:rsidRPr="00886CC5">
        <w:t>irm to trace the client</w:t>
      </w:r>
      <w:r>
        <w:t xml:space="preserve">. </w:t>
      </w:r>
    </w:p>
    <w:p w14:paraId="4E7369BE" w14:textId="77777777" w:rsidR="00BA3678" w:rsidRPr="00F45989" w:rsidRDefault="00BA3678" w:rsidP="004023AB">
      <w:pPr>
        <w:pStyle w:val="Heading3"/>
      </w:pPr>
      <w:r w:rsidRPr="00F45989">
        <w:t>Attempting to trace the client</w:t>
      </w:r>
    </w:p>
    <w:p w14:paraId="3CAC86D9" w14:textId="77777777" w:rsidR="00BA3678" w:rsidRDefault="00BA3678" w:rsidP="00CE4341">
      <w:pPr>
        <w:pStyle w:val="ICASBody"/>
      </w:pPr>
      <w:r>
        <w:t>Where the value of funds is less than £200, then following actions should be undertaken (as appropriate) to try and trace and make contact:</w:t>
      </w:r>
    </w:p>
    <w:p w14:paraId="41BE1118" w14:textId="77777777" w:rsidR="00BA3678" w:rsidRPr="00AE3351" w:rsidRDefault="00BA3678" w:rsidP="00CE4341">
      <w:pPr>
        <w:pStyle w:val="Title"/>
      </w:pPr>
      <w:r w:rsidRPr="00AE3351">
        <w:t>Email to last known email address (with delivery and read receipt)</w:t>
      </w:r>
      <w:r>
        <w:t>, with follow ups if appropriate</w:t>
      </w:r>
    </w:p>
    <w:p w14:paraId="33A28C87" w14:textId="77777777" w:rsidR="00BA3678" w:rsidRPr="00AE3351" w:rsidRDefault="00BA3678" w:rsidP="00CE4341">
      <w:pPr>
        <w:pStyle w:val="Title"/>
      </w:pPr>
      <w:r w:rsidRPr="00AE3351">
        <w:t>Letter to last known address</w:t>
      </w:r>
    </w:p>
    <w:p w14:paraId="7DF5E377" w14:textId="77777777" w:rsidR="00BA3678" w:rsidRPr="00AE3351" w:rsidRDefault="00BA3678" w:rsidP="00CE4341">
      <w:pPr>
        <w:pStyle w:val="Title"/>
      </w:pPr>
      <w:r w:rsidRPr="00AE3351">
        <w:t>Recorded delivery letter to last known address</w:t>
      </w:r>
    </w:p>
    <w:p w14:paraId="5D2456EC" w14:textId="77777777" w:rsidR="00BA3678" w:rsidRPr="00AE3351" w:rsidRDefault="00BA3678" w:rsidP="00CE4341">
      <w:pPr>
        <w:pStyle w:val="Title"/>
      </w:pPr>
      <w:r>
        <w:t>P</w:t>
      </w:r>
      <w:r w:rsidRPr="00AE3351">
        <w:t>hone using last known phone number</w:t>
      </w:r>
    </w:p>
    <w:p w14:paraId="56277DF7" w14:textId="77777777" w:rsidR="00BA3678" w:rsidRDefault="00BA3678" w:rsidP="00CE4341">
      <w:pPr>
        <w:pStyle w:val="Title"/>
      </w:pPr>
      <w:r>
        <w:t>Electoral roll search</w:t>
      </w:r>
    </w:p>
    <w:p w14:paraId="44184B97" w14:textId="77777777" w:rsidR="00BA3678" w:rsidRDefault="00BA3678" w:rsidP="00CE4341">
      <w:pPr>
        <w:pStyle w:val="Title"/>
      </w:pPr>
      <w:r w:rsidRPr="00AE3351">
        <w:t>Enquiry through other known related contacts (e.g. a co-director where the client was a director of a limited company, or other family member who is also a client of the firm)</w:t>
      </w:r>
    </w:p>
    <w:p w14:paraId="7318B80B" w14:textId="77777777" w:rsidR="00BA3678" w:rsidRDefault="00BA3678" w:rsidP="00CE4341">
      <w:pPr>
        <w:pStyle w:val="Title"/>
      </w:pPr>
      <w:r>
        <w:t>Social media search and messaging services</w:t>
      </w:r>
    </w:p>
    <w:p w14:paraId="30CC2A3C" w14:textId="77777777" w:rsidR="004023AB" w:rsidRPr="004023AB" w:rsidRDefault="004023AB" w:rsidP="004023AB"/>
    <w:p w14:paraId="1659762F" w14:textId="77777777" w:rsidR="00BA3678" w:rsidRDefault="00BA3678" w:rsidP="00CE4341">
      <w:pPr>
        <w:pStyle w:val="ICASBody"/>
      </w:pPr>
      <w:r>
        <w:t>Where the value of funds is more than £200, where the actions above do not result in the client being traced then consideration should be given to using a ‘desktop’ tracing agent service or instructing sheriff officer tracing services.</w:t>
      </w:r>
    </w:p>
    <w:p w14:paraId="0117AA0B" w14:textId="77777777" w:rsidR="00BA3678" w:rsidRDefault="00BA3678" w:rsidP="00CE4341">
      <w:pPr>
        <w:pStyle w:val="ICASBody"/>
      </w:pPr>
      <w:r>
        <w:t>Where the value of funds is more than £1,000 consideration should be given to whether a public notice advertisement should be placed in an appropriate newspaper.</w:t>
      </w:r>
    </w:p>
    <w:p w14:paraId="03E3079F" w14:textId="77777777" w:rsidR="00BA3678" w:rsidRPr="00034D00" w:rsidRDefault="00BA3678" w:rsidP="00AF4E32">
      <w:pPr>
        <w:pStyle w:val="Heading3"/>
      </w:pPr>
      <w:r w:rsidRPr="00034D00">
        <w:t>Dealing with unclaimed money after reasonable attempts to trace the client</w:t>
      </w:r>
    </w:p>
    <w:p w14:paraId="37A804E7" w14:textId="77777777" w:rsidR="00BA3678" w:rsidRDefault="00BA3678" w:rsidP="00AF4E32">
      <w:pPr>
        <w:pStyle w:val="ICASBody"/>
      </w:pPr>
      <w:r>
        <w:t>Where reasonable and proportionate attempts to trace the client have not resulted in the client being traced, whilst the firm could continue to hold the funds as clients’ money in a client bank account (continuing to apply interest), the firm may take further action such that the funds would no longer require to be managed by the firm.</w:t>
      </w:r>
    </w:p>
    <w:p w14:paraId="43D0E259" w14:textId="77777777" w:rsidR="00BA3678" w:rsidRDefault="00BA3678" w:rsidP="00AF4E32">
      <w:pPr>
        <w:pStyle w:val="ICASBody"/>
      </w:pPr>
      <w:r>
        <w:t>The following flowchart explains how unclaimed money can be dealt with after reasonable and proportionate attempts to trace the client have been unsuccessful.</w:t>
      </w:r>
    </w:p>
    <w:p w14:paraId="3F885569" w14:textId="77777777" w:rsidR="00BA3678" w:rsidRDefault="00BA3678" w:rsidP="00BA3678">
      <w:pPr>
        <w:spacing w:before="120"/>
        <w:rPr>
          <w:rFonts w:ascii="Arial" w:hAnsi="Arial" w:cs="Arial"/>
          <w:sz w:val="20"/>
        </w:rPr>
      </w:pPr>
      <w:r>
        <w:rPr>
          <w:rFonts w:ascii="Arial" w:hAnsi="Arial" w:cs="Arial"/>
          <w:sz w:val="20"/>
        </w:rPr>
        <w:br w:type="page"/>
      </w:r>
    </w:p>
    <w:p w14:paraId="6C417841" w14:textId="225D2A00" w:rsidR="00BA3678" w:rsidRDefault="00000000" w:rsidP="00BA3678">
      <w:pPr>
        <w:rPr>
          <w:rFonts w:ascii="Arial" w:hAnsi="Arial" w:cs="Arial"/>
          <w:sz w:val="20"/>
        </w:rPr>
      </w:pPr>
      <w:r>
        <w:rPr>
          <w:noProof/>
        </w:rPr>
        <w:lastRenderedPageBreak/>
        <w:pict w14:anchorId="469E104C">
          <v:group id="Group 198" o:spid="_x0000_s2050" style="position:absolute;margin-left:3.6pt;margin-top:.8pt;width:461.25pt;height:675.75pt;z-index:251658240" coordsize="58578,8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">
            <v:shapetype id="_x0000_t116" coordsize="21600,21600" o:spt="116" path="m3475,qx,10800,3475,21600l18125,21600qx21600,10800,18125,xe">
              <v:stroke joinstyle="miter"/>
              <v:path gradientshapeok="t" o:connecttype="rect" textboxrect="1018,3163,20582,18437"/>
            </v:shapetype>
            <v:shape id="Flowchart: Terminator 14" o:spid="_x0000_s2051" type="#_x0000_t116" style="position:absolute;left:43529;top:68580;width:15049;height:17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" fillcolor="#8393a8 [3204]" strokecolor="#3d4857 [1604]" strokeweight="1pt">
              <v:textbox>
                <w:txbxContent>
                  <w:p w14:paraId="7423901A" w14:textId="77777777" w:rsidR="00BA3678" w:rsidRPr="00D73CB5" w:rsidRDefault="00BA3678" w:rsidP="00BA3678">
                    <w:pPr>
                      <w:jc w:val="center"/>
                      <w:rPr>
                        <w:rFonts w:ascii="Arial" w:hAnsi="Arial" w:cs="Arial"/>
                        <w:sz w:val="16"/>
                        <w:szCs w:val="16"/>
                      </w:rPr>
                    </w:pPr>
                    <w:r w:rsidRPr="00D73CB5">
                      <w:rPr>
                        <w:rFonts w:ascii="Arial" w:hAnsi="Arial" w:cs="Arial"/>
                        <w:sz w:val="16"/>
                        <w:szCs w:val="16"/>
                      </w:rPr>
                      <w:t>Funds may be donated to a registered charity of the firm’s choice</w:t>
                    </w:r>
                    <w:r>
                      <w:rPr>
                        <w:rFonts w:ascii="Arial" w:hAnsi="Arial" w:cs="Arial"/>
                        <w:sz w:val="16"/>
                        <w:szCs w:val="16"/>
                      </w:rPr>
                      <w:t xml:space="preserve"> with the approval of ICAS. The charity must provide an indemnity against any claim subsequently made by the client against the unclaimed money</w:t>
                    </w:r>
                  </w:p>
                  <w:p w14:paraId="135C2B63" w14:textId="77777777" w:rsidR="00BA3678" w:rsidRDefault="00BA3678" w:rsidP="00BA3678">
                    <w:pPr>
                      <w:jc w:val="center"/>
                    </w:pPr>
                  </w:p>
                </w:txbxContent>
              </v:textbox>
            </v:shape>
            <v:shapetype id="_x0000_t110" coordsize="21600,21600" o:spt="110" path="m10800,l,10800,10800,21600,21600,10800xe">
              <v:stroke joinstyle="miter"/>
              <v:path gradientshapeok="t" o:connecttype="rect" textboxrect="5400,5400,16200,16200"/>
            </v:shapetype>
            <v:shape id="Flowchart: Decision 1" o:spid="_x0000_s2052" type="#_x0000_t110" style="position:absolute;left:18383;top:41529;width:16192;height:1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" fillcolor="#8393a8 [3204]" strokecolor="#3d4857 [1604]" strokeweight="1pt">
              <v:textbox>
                <w:txbxContent>
                  <w:p w14:paraId="5E074EEE" w14:textId="77777777" w:rsidR="00BA3678" w:rsidRPr="007D10DA" w:rsidRDefault="00BA3678" w:rsidP="00BA3678">
                    <w:pPr>
                      <w:jc w:val="center"/>
                      <w:rPr>
                        <w:rFonts w:ascii="Arial" w:hAnsi="Arial" w:cs="Arial"/>
                        <w:sz w:val="16"/>
                        <w:szCs w:val="16"/>
                      </w:rPr>
                    </w:pPr>
                    <w:r w:rsidRPr="007D10DA">
                      <w:rPr>
                        <w:rFonts w:ascii="Arial" w:hAnsi="Arial" w:cs="Arial"/>
                        <w:sz w:val="16"/>
                        <w:szCs w:val="16"/>
                      </w:rPr>
                      <w:t xml:space="preserve">Is the </w:t>
                    </w:r>
                    <w:r>
                      <w:rPr>
                        <w:rFonts w:ascii="Arial" w:hAnsi="Arial" w:cs="Arial"/>
                        <w:sz w:val="16"/>
                        <w:szCs w:val="16"/>
                      </w:rPr>
                      <w:t>c</w:t>
                    </w:r>
                    <w:r w:rsidRPr="007D10DA">
                      <w:rPr>
                        <w:rFonts w:ascii="Arial" w:hAnsi="Arial" w:cs="Arial"/>
                        <w:sz w:val="16"/>
                        <w:szCs w:val="16"/>
                      </w:rPr>
                      <w:t xml:space="preserve">lient </w:t>
                    </w:r>
                    <w:r>
                      <w:rPr>
                        <w:rFonts w:ascii="Arial" w:hAnsi="Arial" w:cs="Arial"/>
                        <w:sz w:val="16"/>
                        <w:szCs w:val="16"/>
                      </w:rPr>
                      <w:t>b</w:t>
                    </w:r>
                    <w:r w:rsidRPr="007D10DA">
                      <w:rPr>
                        <w:rFonts w:ascii="Arial" w:hAnsi="Arial" w:cs="Arial"/>
                        <w:sz w:val="16"/>
                        <w:szCs w:val="16"/>
                      </w:rPr>
                      <w:t xml:space="preserve">ank </w:t>
                    </w:r>
                    <w:r>
                      <w:rPr>
                        <w:rFonts w:ascii="Arial" w:hAnsi="Arial" w:cs="Arial"/>
                        <w:sz w:val="16"/>
                        <w:szCs w:val="16"/>
                      </w:rPr>
                      <w:t>a</w:t>
                    </w:r>
                    <w:r w:rsidRPr="007D10DA">
                      <w:rPr>
                        <w:rFonts w:ascii="Arial" w:hAnsi="Arial" w:cs="Arial"/>
                        <w:sz w:val="16"/>
                        <w:szCs w:val="16"/>
                      </w:rPr>
                      <w:t>ccount held in Scotland?</w:t>
                    </w:r>
                  </w:p>
                </w:txbxContent>
              </v:textbox>
            </v:shape>
            <v:shapetype id="_x0000_t32" coordsize="21600,21600" o:spt="32" o:oned="t" path="m,l21600,21600e" filled="f">
              <v:path arrowok="t" fillok="f" o:connecttype="none"/>
              <o:lock v:ext="edit" shapetype="t"/>
            </v:shapetype>
            <v:shape id="Straight Arrow Connector 4" o:spid="_x0000_s2053" type="#_x0000_t32" style="position:absolute;left:32004;top:49530;width:7715;height:561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" strokecolor="#8393a8 [3204]" strokeweight=".5pt">
              <v:stroke endarrow="block" joinstyle="miter"/>
            </v:shape>
            <v:shape id="Straight Arrow Connector 3" o:spid="_x0000_s2054" type="#_x0000_t32" style="position:absolute;left:13239;top:49720;width:7811;height:495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8393a8 [3204]" strokeweight=".5pt">
              <v:stroke endarrow="block" joinstyle="miter"/>
            </v:shape>
            <v:shape id="Flowchart: Decision 5" o:spid="_x0000_s2055" type="#_x0000_t110" style="position:absolute;left:6286;top:55721;width:13335;height:94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" fillcolor="#8393a8 [3204]" strokecolor="#3d4857 [1604]" strokeweight="1pt">
              <v:textbox>
                <w:txbxContent>
                  <w:p w14:paraId="1A774414" w14:textId="77777777" w:rsidR="00BA3678" w:rsidRPr="008B4987" w:rsidRDefault="00BA3678" w:rsidP="00BA3678">
                    <w:pPr>
                      <w:jc w:val="center"/>
                      <w:rPr>
                        <w:rFonts w:ascii="Arial" w:hAnsi="Arial"/>
                        <w:sz w:val="16"/>
                      </w:rPr>
                    </w:pPr>
                    <w:r w:rsidRPr="008B4987">
                      <w:rPr>
                        <w:rFonts w:ascii="Arial" w:hAnsi="Arial"/>
                        <w:sz w:val="16"/>
                      </w:rPr>
                      <w:t>Are the funds &lt;£50</w:t>
                    </w:r>
                  </w:p>
                </w:txbxContent>
              </v:textbox>
            </v:shape>
            <v:shape id="Flowchart: Decision 6" o:spid="_x0000_s2056" type="#_x0000_t110" style="position:absolute;left:35433;top:55435;width:13335;height:94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" fillcolor="#8393a8 [3204]" strokecolor="#3d4857 [1604]" strokeweight="1pt">
              <v:textbox>
                <w:txbxContent>
                  <w:p w14:paraId="555AD61C" w14:textId="77777777" w:rsidR="00BA3678" w:rsidRPr="008B4987" w:rsidRDefault="00BA3678" w:rsidP="00BA3678">
                    <w:pPr>
                      <w:jc w:val="center"/>
                      <w:rPr>
                        <w:rFonts w:ascii="Arial" w:hAnsi="Arial"/>
                        <w:sz w:val="16"/>
                      </w:rPr>
                    </w:pPr>
                    <w:r w:rsidRPr="008B4987">
                      <w:rPr>
                        <w:rFonts w:ascii="Arial" w:hAnsi="Arial"/>
                        <w:sz w:val="16"/>
                      </w:rPr>
                      <w:t>Are the funds &lt;£50</w:t>
                    </w:r>
                    <w:r>
                      <w:rPr>
                        <w:rFonts w:ascii="Arial" w:hAnsi="Arial"/>
                        <w:sz w:val="16"/>
                      </w:rPr>
                      <w:t>0</w:t>
                    </w:r>
                  </w:p>
                </w:txbxContent>
              </v:textbox>
            </v:shape>
            <v:shape id="Straight Arrow Connector 8" o:spid="_x0000_s2057" type="#_x0000_t32" style="position:absolute;left:17049;top:62674;width:3620;height:48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8393a8 [3204]" strokeweight=".5pt">
              <v:stroke endarrow="block" joinstyle="miter"/>
            </v:shape>
            <v:shape id="Straight Arrow Connector 7" o:spid="_x0000_s2058" type="#_x0000_t32" style="position:absolute;left:5048;top:62865;width:4096;height:504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" strokecolor="#8393a8 [3204]" strokeweight=".5pt">
              <v:stroke endarrow="block" joinstyle="miter"/>
            </v:shape>
            <v:shape id="Straight Arrow Connector 9" o:spid="_x0000_s2059" type="#_x0000_t32" style="position:absolute;left:34099;top:62769;width:4096;height:504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" strokecolor="#8393a8 [3204]" strokeweight=".5pt">
              <v:stroke endarrow="block" joinstyle="miter"/>
            </v:shape>
            <v:shape id="Straight Arrow Connector 10" o:spid="_x0000_s2060" type="#_x0000_t32" style="position:absolute;left:46101;top:62769;width:3619;height:48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8393a8 [3204]" strokeweight=".5pt">
              <v:stroke endarrow="block" joinstyle="miter"/>
            </v:shape>
            <v:shape id="Flowchart: Terminator 11" o:spid="_x0000_s2061" type="#_x0000_t116" style="position:absolute;top:68770;width:12573;height:168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" fillcolor="#8393a8 [3204]" strokecolor="#3d4857 [1604]" strokeweight="1pt">
              <v:textbox>
                <w:txbxContent>
                  <w:p w14:paraId="3570B11C" w14:textId="77777777" w:rsidR="00BA3678" w:rsidRDefault="00BA3678" w:rsidP="00BA3678">
                    <w:pPr>
                      <w:jc w:val="center"/>
                      <w:rPr>
                        <w:rFonts w:ascii="Arial" w:hAnsi="Arial" w:cs="Arial"/>
                        <w:sz w:val="16"/>
                        <w:szCs w:val="16"/>
                      </w:rPr>
                    </w:pPr>
                    <w:r w:rsidRPr="00F72EFB">
                      <w:rPr>
                        <w:rFonts w:ascii="Arial" w:hAnsi="Arial" w:cs="Arial"/>
                        <w:sz w:val="16"/>
                        <w:szCs w:val="16"/>
                      </w:rPr>
                      <w:t xml:space="preserve">Funds may be lodged with the </w:t>
                    </w:r>
                    <w:r>
                      <w:rPr>
                        <w:rFonts w:ascii="Arial" w:hAnsi="Arial" w:cs="Arial"/>
                        <w:sz w:val="16"/>
                        <w:szCs w:val="16"/>
                      </w:rPr>
                      <w:t>Queen’s and Lord Treasurer’s Remembrancer</w:t>
                    </w:r>
                  </w:p>
                  <w:p w14:paraId="3F4748FA" w14:textId="77777777" w:rsidR="00BA3678" w:rsidRDefault="00BA3678" w:rsidP="00BA3678">
                    <w:pPr>
                      <w:jc w:val="center"/>
                      <w:rPr>
                        <w:rFonts w:ascii="Arial" w:hAnsi="Arial" w:cs="Arial"/>
                        <w:sz w:val="16"/>
                        <w:szCs w:val="16"/>
                      </w:rPr>
                    </w:pPr>
                    <w:r w:rsidRPr="00F72EFB">
                      <w:rPr>
                        <w:rFonts w:ascii="Arial" w:hAnsi="Arial" w:cs="Arial"/>
                        <w:sz w:val="16"/>
                        <w:szCs w:val="16"/>
                      </w:rPr>
                      <w:t xml:space="preserve">OR </w:t>
                    </w:r>
                  </w:p>
                  <w:p w14:paraId="2CC77570" w14:textId="77777777" w:rsidR="00BA3678" w:rsidRPr="00F72EFB" w:rsidRDefault="00BA3678" w:rsidP="00BA3678">
                    <w:pPr>
                      <w:jc w:val="center"/>
                      <w:rPr>
                        <w:rFonts w:ascii="Arial" w:hAnsi="Arial" w:cs="Arial"/>
                        <w:sz w:val="16"/>
                        <w:szCs w:val="16"/>
                      </w:rPr>
                    </w:pPr>
                    <w:r w:rsidRPr="00F72EFB">
                      <w:rPr>
                        <w:rFonts w:ascii="Arial" w:hAnsi="Arial" w:cs="Arial"/>
                        <w:sz w:val="16"/>
                        <w:szCs w:val="16"/>
                      </w:rPr>
                      <w:t>can be donated to a registered charity of the firm’s choice</w:t>
                    </w:r>
                  </w:p>
                </w:txbxContent>
              </v:textbox>
            </v:shape>
            <v:shape id="Flowchart: Decision 16" o:spid="_x0000_s2062" type="#_x0000_t110" style="position:absolute;left:18478;top:23336;width:16193;height:1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" fillcolor="#8393a8 [3204]" strokecolor="#3d4857 [1604]" strokeweight="1pt">
              <v:textbox>
                <w:txbxContent>
                  <w:p w14:paraId="0FCA4545" w14:textId="77777777" w:rsidR="00BA3678" w:rsidRPr="007D10DA" w:rsidRDefault="00BA3678" w:rsidP="00BA3678">
                    <w:pPr>
                      <w:jc w:val="center"/>
                      <w:rPr>
                        <w:rFonts w:ascii="Arial" w:hAnsi="Arial" w:cs="Arial"/>
                        <w:sz w:val="16"/>
                        <w:szCs w:val="16"/>
                      </w:rPr>
                    </w:pPr>
                    <w:r w:rsidRPr="007D10DA">
                      <w:rPr>
                        <w:rFonts w:ascii="Arial" w:hAnsi="Arial" w:cs="Arial"/>
                        <w:sz w:val="16"/>
                        <w:szCs w:val="16"/>
                      </w:rPr>
                      <w:t xml:space="preserve">Is the </w:t>
                    </w:r>
                    <w:r>
                      <w:rPr>
                        <w:rFonts w:ascii="Arial" w:hAnsi="Arial" w:cs="Arial"/>
                        <w:sz w:val="16"/>
                        <w:szCs w:val="16"/>
                      </w:rPr>
                      <w:t>c</w:t>
                    </w:r>
                    <w:r w:rsidRPr="007D10DA">
                      <w:rPr>
                        <w:rFonts w:ascii="Arial" w:hAnsi="Arial" w:cs="Arial"/>
                        <w:sz w:val="16"/>
                        <w:szCs w:val="16"/>
                      </w:rPr>
                      <w:t xml:space="preserve">lient </w:t>
                    </w:r>
                    <w:r>
                      <w:rPr>
                        <w:rFonts w:ascii="Arial" w:hAnsi="Arial" w:cs="Arial"/>
                        <w:sz w:val="16"/>
                        <w:szCs w:val="16"/>
                      </w:rPr>
                      <w:t>b</w:t>
                    </w:r>
                    <w:r w:rsidRPr="007D10DA">
                      <w:rPr>
                        <w:rFonts w:ascii="Arial" w:hAnsi="Arial" w:cs="Arial"/>
                        <w:sz w:val="16"/>
                        <w:szCs w:val="16"/>
                      </w:rPr>
                      <w:t xml:space="preserve">ank </w:t>
                    </w:r>
                    <w:r>
                      <w:rPr>
                        <w:rFonts w:ascii="Arial" w:hAnsi="Arial" w:cs="Arial"/>
                        <w:sz w:val="16"/>
                        <w:szCs w:val="16"/>
                      </w:rPr>
                      <w:t>a</w:t>
                    </w:r>
                    <w:r w:rsidRPr="007D10DA">
                      <w:rPr>
                        <w:rFonts w:ascii="Arial" w:hAnsi="Arial" w:cs="Arial"/>
                        <w:sz w:val="16"/>
                        <w:szCs w:val="16"/>
                      </w:rPr>
                      <w:t xml:space="preserve">ccount held in </w:t>
                    </w:r>
                    <w:r>
                      <w:rPr>
                        <w:rFonts w:ascii="Arial" w:hAnsi="Arial" w:cs="Arial"/>
                        <w:sz w:val="16"/>
                        <w:szCs w:val="16"/>
                      </w:rPr>
                      <w:t>the UK</w:t>
                    </w:r>
                    <w:r w:rsidRPr="007D10DA">
                      <w:rPr>
                        <w:rFonts w:ascii="Arial" w:hAnsi="Arial" w:cs="Arial"/>
                        <w:sz w:val="16"/>
                        <w:szCs w:val="16"/>
                      </w:rPr>
                      <w:t>?</w:t>
                    </w:r>
                  </w:p>
                </w:txbxContent>
              </v:textbox>
            </v:shape>
            <v:shape id="Flowchart: Terminator 19" o:spid="_x0000_s2063" type="#_x0000_t116" style="position:absolute;left:43338;top:26384;width:13240;height:6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" fillcolor="#8393a8 [3204]" strokecolor="#3d4857 [1604]" strokeweight="1pt">
              <v:textbox>
                <w:txbxContent>
                  <w:p w14:paraId="155B628C" w14:textId="77777777" w:rsidR="00BA3678" w:rsidRPr="00214156" w:rsidRDefault="00BA3678" w:rsidP="00BA3678">
                    <w:pPr>
                      <w:jc w:val="center"/>
                      <w:rPr>
                        <w:rFonts w:ascii="Arial" w:hAnsi="Arial" w:cs="Arial"/>
                        <w:sz w:val="16"/>
                        <w:szCs w:val="16"/>
                      </w:rPr>
                    </w:pPr>
                    <w:r w:rsidRPr="00214156">
                      <w:rPr>
                        <w:rFonts w:ascii="Arial" w:hAnsi="Arial" w:cs="Arial"/>
                        <w:sz w:val="16"/>
                        <w:szCs w:val="16"/>
                      </w:rPr>
                      <w:t xml:space="preserve">Seek legal advice. </w:t>
                    </w:r>
                  </w:p>
                </w:txbxContent>
              </v:textbox>
            </v:shape>
            <v:shape id="Straight Arrow Connector 18" o:spid="_x0000_s2064" type="#_x0000_t32" style="position:absolute;left:34671;top:29241;width:771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8393a8 [3204]" strokeweight=".5pt">
              <v:stroke endarrow="block" joinstyle="miter"/>
            </v:shape>
            <v:shape id="Straight Arrow Connector 17" o:spid="_x0000_s2065" type="#_x0000_t32" style="position:absolute;left:26574;top:35337;width:0;height:59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8393a8 [3204]" strokeweight=".5pt">
              <v:stroke endarrow="block" joinstyle="miter"/>
            </v:shape>
            <v:shapetype id="_x0000_t202" coordsize="21600,21600" o:spt="202" path="m,l,21600r21600,l21600,xe">
              <v:stroke joinstyle="miter"/>
              <v:path gradientshapeok="t" o:connecttype="rect"/>
            </v:shapetype>
            <v:shape id="Text Box 2" o:spid="_x0000_s2066" type="#_x0000_t202" style="position:absolute;left:21240;top:36766;width:4953;height:2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3407A83" w14:textId="77777777" w:rsidR="00BA3678" w:rsidRPr="00B15164" w:rsidRDefault="00BA3678" w:rsidP="00BA3678">
                    <w:pPr>
                      <w:jc w:val="right"/>
                      <w:rPr>
                        <w:rFonts w:ascii="Arial" w:hAnsi="Arial" w:cs="Arial"/>
                        <w:sz w:val="20"/>
                      </w:rPr>
                    </w:pPr>
                    <w:r w:rsidRPr="00B15164">
                      <w:rPr>
                        <w:rFonts w:ascii="Arial" w:hAnsi="Arial" w:cs="Arial"/>
                        <w:sz w:val="20"/>
                      </w:rPr>
                      <w:t>Yes</w:t>
                    </w:r>
                  </w:p>
                </w:txbxContent>
              </v:textbox>
            </v:shape>
            <v:shape id="Text Box 2" o:spid="_x0000_s2067" type="#_x0000_t202" style="position:absolute;left:36576;top:26289;width:4857;height:2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483F2B37" w14:textId="77777777" w:rsidR="00BA3678" w:rsidRPr="00B15164" w:rsidRDefault="00BA3678" w:rsidP="00BA3678">
                    <w:pPr>
                      <w:rPr>
                        <w:rFonts w:ascii="Arial" w:hAnsi="Arial" w:cs="Arial"/>
                        <w:sz w:val="20"/>
                      </w:rPr>
                    </w:pPr>
                    <w:r>
                      <w:rPr>
                        <w:rFonts w:ascii="Arial" w:hAnsi="Arial" w:cs="Arial"/>
                        <w:sz w:val="20"/>
                      </w:rPr>
                      <w:t>No</w:t>
                    </w:r>
                  </w:p>
                </w:txbxContent>
              </v:textbox>
            </v:shape>
            <v:shape id="Text Box 2" o:spid="_x0000_s2068" type="#_x0000_t202" style="position:absolute;left:13127;top:48989;width:4572;height:26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05D9597B" w14:textId="77777777" w:rsidR="00BA3678" w:rsidRPr="00B15164" w:rsidRDefault="00BA3678" w:rsidP="00BA3678">
                    <w:pPr>
                      <w:jc w:val="right"/>
                      <w:rPr>
                        <w:rFonts w:ascii="Arial" w:hAnsi="Arial" w:cs="Arial"/>
                        <w:sz w:val="20"/>
                      </w:rPr>
                    </w:pPr>
                    <w:r w:rsidRPr="00B15164">
                      <w:rPr>
                        <w:rFonts w:ascii="Arial" w:hAnsi="Arial" w:cs="Arial"/>
                        <w:sz w:val="20"/>
                      </w:rPr>
                      <w:t>Yes</w:t>
                    </w:r>
                  </w:p>
                </w:txbxContent>
              </v:textbox>
            </v:shape>
            <v:shape id="Flowchart: Terminator 12" o:spid="_x0000_s2069" type="#_x0000_t116" style="position:absolute;left:14001;top:68580;width:12573;height:172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" fillcolor="#8393a8 [3204]" strokecolor="#3d4857 [1604]" strokeweight="1pt">
              <v:textbox>
                <w:txbxContent>
                  <w:p w14:paraId="098AF46A" w14:textId="77777777" w:rsidR="00BA3678" w:rsidRDefault="00BA3678" w:rsidP="00BA3678">
                    <w:pPr>
                      <w:jc w:val="center"/>
                    </w:pPr>
                    <w:r w:rsidRPr="00F72EFB">
                      <w:rPr>
                        <w:rFonts w:ascii="Arial" w:hAnsi="Arial" w:cs="Arial"/>
                        <w:sz w:val="16"/>
                        <w:szCs w:val="16"/>
                      </w:rPr>
                      <w:t xml:space="preserve">Funds may be lodged with the </w:t>
                    </w:r>
                    <w:r>
                      <w:rPr>
                        <w:rFonts w:ascii="Arial" w:hAnsi="Arial" w:cs="Arial"/>
                        <w:sz w:val="16"/>
                        <w:szCs w:val="16"/>
                      </w:rPr>
                      <w:t>Queen’s and Lord Treasurer’s Remembrancer, subject to deduction of any permitted fee</w:t>
                    </w:r>
                  </w:p>
                </w:txbxContent>
              </v:textbox>
            </v:shape>
            <v:shape id="Flowchart: Terminator 13" o:spid="_x0000_s2070" type="#_x0000_t116" style="position:absolute;left:28956;top:68580;width:12573;height:17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" fillcolor="#8393a8 [3204]" strokecolor="#3d4857 [1604]" strokeweight="1pt">
              <v:textbox>
                <w:txbxContent>
                  <w:p w14:paraId="54F5B2F0" w14:textId="77777777" w:rsidR="00BA3678" w:rsidRPr="00D73CB5" w:rsidRDefault="00BA3678" w:rsidP="00BA3678">
                    <w:pPr>
                      <w:jc w:val="center"/>
                      <w:rPr>
                        <w:rFonts w:ascii="Arial" w:hAnsi="Arial" w:cs="Arial"/>
                        <w:sz w:val="16"/>
                        <w:szCs w:val="16"/>
                      </w:rPr>
                    </w:pPr>
                    <w:r w:rsidRPr="00D73CB5">
                      <w:rPr>
                        <w:rFonts w:ascii="Arial" w:hAnsi="Arial" w:cs="Arial"/>
                        <w:sz w:val="16"/>
                        <w:szCs w:val="16"/>
                      </w:rPr>
                      <w:t>Funds may be donated to a registered charity of the firm’s choice</w:t>
                    </w:r>
                  </w:p>
                </w:txbxContent>
              </v:textbox>
            </v:shape>
            <v:shape id="Text Box 2" o:spid="_x0000_s2071" type="#_x0000_t202" style="position:absolute;left:1619;top:63817;width:4858;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25E2A206" w14:textId="77777777" w:rsidR="00BA3678" w:rsidRPr="00B15164" w:rsidRDefault="00BA3678" w:rsidP="00BA3678">
                    <w:pPr>
                      <w:jc w:val="right"/>
                      <w:rPr>
                        <w:rFonts w:ascii="Arial" w:hAnsi="Arial" w:cs="Arial"/>
                        <w:sz w:val="20"/>
                      </w:rPr>
                    </w:pPr>
                    <w:r w:rsidRPr="00B15164">
                      <w:rPr>
                        <w:rFonts w:ascii="Arial" w:hAnsi="Arial" w:cs="Arial"/>
                        <w:sz w:val="20"/>
                      </w:rPr>
                      <w:t>Yes</w:t>
                    </w:r>
                  </w:p>
                </w:txbxContent>
              </v:textbox>
            </v:shape>
            <v:shape id="Text Box 2" o:spid="_x0000_s2072" type="#_x0000_t202" style="position:absolute;left:31527;top:63246;width:4477;height:2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2F8BE76" w14:textId="77777777" w:rsidR="00BA3678" w:rsidRPr="00B15164" w:rsidRDefault="00BA3678" w:rsidP="00BA3678">
                    <w:pPr>
                      <w:jc w:val="right"/>
                      <w:rPr>
                        <w:rFonts w:ascii="Arial" w:hAnsi="Arial" w:cs="Arial"/>
                        <w:sz w:val="20"/>
                      </w:rPr>
                    </w:pPr>
                    <w:r w:rsidRPr="00B15164">
                      <w:rPr>
                        <w:rFonts w:ascii="Arial" w:hAnsi="Arial" w:cs="Arial"/>
                        <w:sz w:val="20"/>
                      </w:rPr>
                      <w:t>Yes</w:t>
                    </w:r>
                  </w:p>
                </w:txbxContent>
              </v:textbox>
            </v:shape>
            <v:shape id="Text Box 2" o:spid="_x0000_s2073" type="#_x0000_t202" style="position:absolute;left:48482;top:63436;width:3905;height:2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18DA603E" w14:textId="77777777" w:rsidR="00BA3678" w:rsidRPr="00B15164" w:rsidRDefault="00BA3678" w:rsidP="00BA3678">
                    <w:pPr>
                      <w:rPr>
                        <w:rFonts w:ascii="Arial" w:hAnsi="Arial" w:cs="Arial"/>
                        <w:sz w:val="20"/>
                      </w:rPr>
                    </w:pPr>
                    <w:r>
                      <w:rPr>
                        <w:rFonts w:ascii="Arial" w:hAnsi="Arial" w:cs="Arial"/>
                        <w:sz w:val="20"/>
                      </w:rPr>
                      <w:t>No</w:t>
                    </w:r>
                  </w:p>
                </w:txbxContent>
              </v:textbox>
            </v:shape>
            <v:shape id="Text Box 2" o:spid="_x0000_s2074" type="#_x0000_t202" style="position:absolute;left:19907;top:63817;width:3715;height:24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138EE69B" w14:textId="77777777" w:rsidR="00BA3678" w:rsidRPr="00B15164" w:rsidRDefault="00BA3678" w:rsidP="00BA3678">
                    <w:pPr>
                      <w:rPr>
                        <w:rFonts w:ascii="Arial" w:hAnsi="Arial" w:cs="Arial"/>
                        <w:sz w:val="20"/>
                      </w:rPr>
                    </w:pPr>
                    <w:r>
                      <w:rPr>
                        <w:rFonts w:ascii="Arial" w:hAnsi="Arial" w:cs="Arial"/>
                        <w:sz w:val="20"/>
                      </w:rPr>
                      <w:t>No</w:t>
                    </w:r>
                  </w:p>
                </w:txbxContent>
              </v:textbox>
            </v:shape>
            <v:shape id="Text Box 2" o:spid="_x0000_s2075" type="#_x0000_t202" style="position:absolute;left:35718;top:49625;width:4191;height:2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404CEC5E" w14:textId="77777777" w:rsidR="00BA3678" w:rsidRPr="00B15164" w:rsidRDefault="00BA3678" w:rsidP="00BA3678">
                    <w:pPr>
                      <w:rPr>
                        <w:rFonts w:ascii="Arial" w:hAnsi="Arial" w:cs="Arial"/>
                        <w:sz w:val="20"/>
                      </w:rPr>
                    </w:pPr>
                    <w:r>
                      <w:rPr>
                        <w:rFonts w:ascii="Arial" w:hAnsi="Arial" w:cs="Arial"/>
                        <w:sz w:val="20"/>
                      </w:rPr>
                      <w:t>No</w:t>
                    </w:r>
                  </w:p>
                </w:txbxContent>
              </v:textbox>
            </v:shape>
            <v:shape id="Flowchart: Decision 30" o:spid="_x0000_s2076" type="#_x0000_t110" style="position:absolute;left:16573;width:19622;height:166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" fillcolor="#8393a8 [3204]" strokecolor="#3d4857 [1604]" strokeweight="1pt">
              <v:textbox>
                <w:txbxContent>
                  <w:p w14:paraId="4B4DFAA8" w14:textId="77777777" w:rsidR="00BA3678" w:rsidRPr="007D10DA" w:rsidRDefault="00BA3678" w:rsidP="00BA3678">
                    <w:pPr>
                      <w:jc w:val="center"/>
                      <w:rPr>
                        <w:rFonts w:ascii="Arial" w:hAnsi="Arial" w:cs="Arial"/>
                        <w:sz w:val="16"/>
                        <w:szCs w:val="16"/>
                      </w:rPr>
                    </w:pPr>
                    <w:r>
                      <w:rPr>
                        <w:rFonts w:ascii="Arial" w:hAnsi="Arial" w:cs="Arial"/>
                        <w:sz w:val="16"/>
                        <w:szCs w:val="16"/>
                      </w:rPr>
                      <w:t>Does a written agreement exist with the client on how unclaimed monies should be dealt with?</w:t>
                    </w:r>
                  </w:p>
                </w:txbxContent>
              </v:textbox>
            </v:shape>
            <v:shape id="Straight Arrow Connector 31" o:spid="_x0000_s2077" type="#_x0000_t32" style="position:absolute;left:26384;top:16192;width:95;height:67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" strokecolor="#8393a8 [3204]" strokeweight=".5pt">
              <v:stroke endarrow="block" joinstyle="miter"/>
            </v:shape>
            <v:shape id="Text Box 2" o:spid="_x0000_s2078" type="#_x0000_t202" style="position:absolute;left:36290;top:5524;width:4946;height:2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" stroked="f">
              <v:textbox>
                <w:txbxContent>
                  <w:p w14:paraId="528B8D41" w14:textId="77777777" w:rsidR="00BA3678" w:rsidRPr="00B15164" w:rsidRDefault="00BA3678" w:rsidP="00BA3678">
                    <w:pPr>
                      <w:rPr>
                        <w:rFonts w:ascii="Arial" w:hAnsi="Arial" w:cs="Arial"/>
                        <w:sz w:val="20"/>
                      </w:rPr>
                    </w:pPr>
                    <w:r w:rsidRPr="00B15164">
                      <w:rPr>
                        <w:rFonts w:ascii="Arial" w:hAnsi="Arial" w:cs="Arial"/>
                        <w:sz w:val="20"/>
                      </w:rPr>
                      <w:t>Yes</w:t>
                    </w:r>
                  </w:p>
                </w:txbxContent>
              </v:textbox>
            </v:shape>
            <v:shape id="Straight Arrow Connector 193" o:spid="_x0000_s2079" type="#_x0000_t32" style="position:absolute;left:36480;top:8191;width:6676;height:9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" strokecolor="#8393a8 [3204]" strokeweight=".5pt">
              <v:stroke endarrow="block" joinstyle="miter"/>
            </v:shape>
            <v:shape id="Flowchart: Terminator 194" o:spid="_x0000_s2080" type="#_x0000_t116" style="position:absolute;left:43719;top:5334;width:13716;height:6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" fillcolor="#8393a8 [3204]" strokecolor="#3d4857 [1604]" strokeweight="1pt">
              <v:textbox>
                <w:txbxContent>
                  <w:p w14:paraId="58B2296E" w14:textId="77777777" w:rsidR="00BA3678" w:rsidRPr="00214156" w:rsidRDefault="00BA3678" w:rsidP="00BA3678">
                    <w:pPr>
                      <w:jc w:val="center"/>
                      <w:rPr>
                        <w:rFonts w:ascii="Arial" w:hAnsi="Arial" w:cs="Arial"/>
                        <w:sz w:val="16"/>
                        <w:szCs w:val="16"/>
                      </w:rPr>
                    </w:pPr>
                    <w:r>
                      <w:rPr>
                        <w:rFonts w:ascii="Arial" w:hAnsi="Arial" w:cs="Arial"/>
                        <w:sz w:val="16"/>
                        <w:szCs w:val="16"/>
                      </w:rPr>
                      <w:t>Deal with in accordance with written agreement</w:t>
                    </w:r>
                    <w:r w:rsidRPr="00214156">
                      <w:rPr>
                        <w:rFonts w:ascii="Arial" w:hAnsi="Arial" w:cs="Arial"/>
                        <w:sz w:val="16"/>
                        <w:szCs w:val="16"/>
                      </w:rPr>
                      <w:t xml:space="preserve"> </w:t>
                    </w:r>
                  </w:p>
                </w:txbxContent>
              </v:textbox>
            </v:shape>
            <v:shape id="Text Box 2" o:spid="_x0000_s2081" type="#_x0000_t202" style="position:absolute;left:22288;top:17526;width:3810;height:2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" stroked="f">
              <v:textbox>
                <w:txbxContent>
                  <w:p w14:paraId="1305D73C" w14:textId="77777777" w:rsidR="00BA3678" w:rsidRPr="00B15164" w:rsidRDefault="00BA3678" w:rsidP="00BA3678">
                    <w:pPr>
                      <w:rPr>
                        <w:rFonts w:ascii="Arial" w:hAnsi="Arial" w:cs="Arial"/>
                        <w:sz w:val="20"/>
                      </w:rPr>
                    </w:pPr>
                    <w:r>
                      <w:rPr>
                        <w:rFonts w:ascii="Arial" w:hAnsi="Arial" w:cs="Arial"/>
                        <w:sz w:val="20"/>
                      </w:rPr>
                      <w:t>No</w:t>
                    </w:r>
                  </w:p>
                </w:txbxContent>
              </v:textbox>
            </v:shape>
          </v:group>
        </w:pict>
      </w:r>
    </w:p>
    <w:p w14:paraId="26AF5106" w14:textId="77777777" w:rsidR="00BA3678" w:rsidRDefault="00BA3678" w:rsidP="00BA3678">
      <w:pPr>
        <w:rPr>
          <w:rFonts w:ascii="Arial" w:hAnsi="Arial" w:cs="Arial"/>
          <w:sz w:val="20"/>
        </w:rPr>
      </w:pPr>
    </w:p>
    <w:p w14:paraId="2EC40CF3" w14:textId="77777777" w:rsidR="00BA3678" w:rsidRDefault="00BA3678" w:rsidP="00BA3678">
      <w:pPr>
        <w:rPr>
          <w:rFonts w:ascii="Arial" w:hAnsi="Arial" w:cs="Arial"/>
          <w:sz w:val="20"/>
        </w:rPr>
      </w:pPr>
    </w:p>
    <w:p w14:paraId="3231A1D7" w14:textId="77777777" w:rsidR="00BA3678" w:rsidRDefault="00BA3678" w:rsidP="00BA3678">
      <w:pPr>
        <w:rPr>
          <w:rFonts w:ascii="Arial" w:hAnsi="Arial" w:cs="Arial"/>
          <w:sz w:val="20"/>
        </w:rPr>
      </w:pPr>
    </w:p>
    <w:p w14:paraId="351A8D99" w14:textId="77777777" w:rsidR="00BA3678" w:rsidRDefault="00BA3678" w:rsidP="00BA3678">
      <w:pPr>
        <w:rPr>
          <w:rFonts w:ascii="Arial" w:hAnsi="Arial" w:cs="Arial"/>
          <w:sz w:val="20"/>
        </w:rPr>
      </w:pPr>
    </w:p>
    <w:p w14:paraId="56B6EDEA" w14:textId="77777777" w:rsidR="00BA3678" w:rsidRDefault="00BA3678" w:rsidP="00BA3678">
      <w:pPr>
        <w:rPr>
          <w:rFonts w:ascii="Arial" w:hAnsi="Arial" w:cs="Arial"/>
          <w:sz w:val="20"/>
        </w:rPr>
      </w:pPr>
    </w:p>
    <w:p w14:paraId="42D200DA" w14:textId="77777777" w:rsidR="00BA3678" w:rsidRDefault="00BA3678" w:rsidP="00BA3678">
      <w:pPr>
        <w:rPr>
          <w:rFonts w:ascii="Arial" w:hAnsi="Arial" w:cs="Arial"/>
          <w:sz w:val="20"/>
        </w:rPr>
      </w:pPr>
    </w:p>
    <w:p w14:paraId="0D7772AE" w14:textId="77777777" w:rsidR="00BA3678" w:rsidRDefault="00BA3678" w:rsidP="00BA3678">
      <w:pPr>
        <w:rPr>
          <w:rFonts w:ascii="Arial" w:hAnsi="Arial" w:cs="Arial"/>
          <w:sz w:val="20"/>
        </w:rPr>
      </w:pPr>
    </w:p>
    <w:p w14:paraId="3A773BA0" w14:textId="77777777" w:rsidR="00BA3678" w:rsidRDefault="00BA3678" w:rsidP="00BA3678">
      <w:pPr>
        <w:rPr>
          <w:rFonts w:ascii="Arial" w:hAnsi="Arial" w:cs="Arial"/>
          <w:sz w:val="20"/>
        </w:rPr>
      </w:pPr>
    </w:p>
    <w:p w14:paraId="0B374EBB" w14:textId="77777777" w:rsidR="00BA3678" w:rsidRDefault="00BA3678" w:rsidP="00BA3678">
      <w:pPr>
        <w:rPr>
          <w:rFonts w:ascii="Arial" w:hAnsi="Arial" w:cs="Arial"/>
          <w:sz w:val="20"/>
        </w:rPr>
      </w:pPr>
    </w:p>
    <w:p w14:paraId="63D41B19" w14:textId="77777777" w:rsidR="00BA3678" w:rsidRDefault="00BA3678" w:rsidP="00BA3678">
      <w:pPr>
        <w:rPr>
          <w:rFonts w:ascii="Arial" w:hAnsi="Arial" w:cs="Arial"/>
          <w:sz w:val="20"/>
        </w:rPr>
      </w:pPr>
    </w:p>
    <w:p w14:paraId="5B206CA4" w14:textId="77777777" w:rsidR="00BA3678" w:rsidRDefault="00BA3678" w:rsidP="00BA3678">
      <w:pPr>
        <w:rPr>
          <w:rFonts w:ascii="Arial" w:hAnsi="Arial" w:cs="Arial"/>
          <w:sz w:val="20"/>
        </w:rPr>
      </w:pPr>
    </w:p>
    <w:p w14:paraId="05F4B243" w14:textId="77777777" w:rsidR="00BA3678" w:rsidRDefault="00BA3678" w:rsidP="00BA3678">
      <w:pPr>
        <w:rPr>
          <w:rFonts w:ascii="Arial" w:hAnsi="Arial" w:cs="Arial"/>
          <w:sz w:val="20"/>
        </w:rPr>
      </w:pPr>
    </w:p>
    <w:p w14:paraId="17677049" w14:textId="77777777" w:rsidR="00BA3678" w:rsidRDefault="00BA3678" w:rsidP="00BA3678">
      <w:pPr>
        <w:rPr>
          <w:rFonts w:ascii="Arial" w:hAnsi="Arial" w:cs="Arial"/>
          <w:sz w:val="20"/>
        </w:rPr>
      </w:pPr>
    </w:p>
    <w:p w14:paraId="764B5FFB" w14:textId="77777777" w:rsidR="00BA3678" w:rsidRDefault="00BA3678" w:rsidP="00BA3678">
      <w:pPr>
        <w:rPr>
          <w:rFonts w:ascii="Arial" w:hAnsi="Arial" w:cs="Arial"/>
          <w:sz w:val="20"/>
        </w:rPr>
      </w:pPr>
    </w:p>
    <w:p w14:paraId="44AE1A9E" w14:textId="77777777" w:rsidR="00BA3678" w:rsidRDefault="00BA3678" w:rsidP="00BA3678">
      <w:pPr>
        <w:rPr>
          <w:rFonts w:ascii="Arial" w:hAnsi="Arial" w:cs="Arial"/>
          <w:sz w:val="20"/>
        </w:rPr>
      </w:pPr>
    </w:p>
    <w:p w14:paraId="663FF1BE" w14:textId="77777777" w:rsidR="00BA3678" w:rsidRDefault="00BA3678" w:rsidP="00BA3678">
      <w:pPr>
        <w:rPr>
          <w:rFonts w:ascii="Arial" w:hAnsi="Arial" w:cs="Arial"/>
          <w:sz w:val="20"/>
        </w:rPr>
      </w:pPr>
    </w:p>
    <w:p w14:paraId="3E29F7C4" w14:textId="77777777" w:rsidR="00BA3678" w:rsidRDefault="00BA3678" w:rsidP="00BA3678">
      <w:pPr>
        <w:rPr>
          <w:rFonts w:ascii="Arial" w:hAnsi="Arial" w:cs="Arial"/>
          <w:sz w:val="20"/>
        </w:rPr>
      </w:pPr>
    </w:p>
    <w:p w14:paraId="6B12E9B3" w14:textId="77777777" w:rsidR="00BA3678" w:rsidRDefault="00BA3678" w:rsidP="00BA3678">
      <w:pPr>
        <w:rPr>
          <w:rFonts w:ascii="Arial" w:hAnsi="Arial" w:cs="Arial"/>
          <w:sz w:val="20"/>
        </w:rPr>
      </w:pPr>
    </w:p>
    <w:p w14:paraId="4F9C6D84" w14:textId="77777777" w:rsidR="00BA3678" w:rsidRDefault="00BA3678" w:rsidP="00BA3678">
      <w:pPr>
        <w:rPr>
          <w:rFonts w:ascii="Arial" w:hAnsi="Arial" w:cs="Arial"/>
          <w:sz w:val="20"/>
        </w:rPr>
      </w:pPr>
    </w:p>
    <w:p w14:paraId="3F223399" w14:textId="77777777" w:rsidR="00BA3678" w:rsidRDefault="00BA3678" w:rsidP="00BA3678">
      <w:pPr>
        <w:rPr>
          <w:rFonts w:ascii="Arial" w:hAnsi="Arial" w:cs="Arial"/>
          <w:sz w:val="20"/>
        </w:rPr>
      </w:pPr>
    </w:p>
    <w:p w14:paraId="1E225BD6" w14:textId="77777777" w:rsidR="00BA3678" w:rsidRDefault="00BA3678" w:rsidP="00BA3678">
      <w:pPr>
        <w:rPr>
          <w:rFonts w:ascii="Arial" w:hAnsi="Arial" w:cs="Arial"/>
          <w:sz w:val="20"/>
        </w:rPr>
      </w:pPr>
    </w:p>
    <w:p w14:paraId="2729DFC2" w14:textId="77777777" w:rsidR="00BA3678" w:rsidRDefault="00BA3678" w:rsidP="00BA3678">
      <w:pPr>
        <w:rPr>
          <w:rFonts w:ascii="Arial" w:hAnsi="Arial" w:cs="Arial"/>
          <w:sz w:val="20"/>
        </w:rPr>
      </w:pPr>
    </w:p>
    <w:p w14:paraId="0C79E61A" w14:textId="77777777" w:rsidR="00BA3678" w:rsidRDefault="00BA3678" w:rsidP="00BA3678">
      <w:pPr>
        <w:rPr>
          <w:rFonts w:ascii="Arial" w:hAnsi="Arial" w:cs="Arial"/>
          <w:sz w:val="20"/>
        </w:rPr>
      </w:pPr>
    </w:p>
    <w:p w14:paraId="3B7D3801" w14:textId="77777777" w:rsidR="00BA3678" w:rsidRDefault="00BA3678" w:rsidP="00BA3678">
      <w:pPr>
        <w:rPr>
          <w:rFonts w:ascii="Arial" w:hAnsi="Arial" w:cs="Arial"/>
          <w:sz w:val="20"/>
        </w:rPr>
      </w:pPr>
    </w:p>
    <w:p w14:paraId="4DDA5FEB" w14:textId="77777777" w:rsidR="00BA3678" w:rsidRDefault="00BA3678" w:rsidP="00BA3678">
      <w:pPr>
        <w:rPr>
          <w:rFonts w:ascii="Arial" w:hAnsi="Arial" w:cs="Arial"/>
          <w:sz w:val="20"/>
        </w:rPr>
      </w:pPr>
    </w:p>
    <w:p w14:paraId="4D9EA73E" w14:textId="77777777" w:rsidR="00BA3678" w:rsidRDefault="00BA3678" w:rsidP="00BA3678">
      <w:pPr>
        <w:rPr>
          <w:rFonts w:ascii="Arial" w:hAnsi="Arial" w:cs="Arial"/>
          <w:sz w:val="20"/>
        </w:rPr>
      </w:pPr>
    </w:p>
    <w:p w14:paraId="5A82CC70" w14:textId="77777777" w:rsidR="00BA3678" w:rsidRDefault="00BA3678" w:rsidP="00BA3678">
      <w:pPr>
        <w:rPr>
          <w:rFonts w:ascii="Arial" w:hAnsi="Arial" w:cs="Arial"/>
          <w:sz w:val="20"/>
        </w:rPr>
      </w:pPr>
    </w:p>
    <w:p w14:paraId="66E9D980" w14:textId="77777777" w:rsidR="00BA3678" w:rsidRDefault="00BA3678" w:rsidP="00BA3678">
      <w:pPr>
        <w:rPr>
          <w:rFonts w:ascii="Arial" w:hAnsi="Arial" w:cs="Arial"/>
          <w:sz w:val="20"/>
        </w:rPr>
      </w:pPr>
    </w:p>
    <w:p w14:paraId="3449E429" w14:textId="77777777" w:rsidR="00BA3678" w:rsidRDefault="00BA3678" w:rsidP="00BA3678">
      <w:pPr>
        <w:rPr>
          <w:rFonts w:ascii="Arial" w:hAnsi="Arial" w:cs="Arial"/>
          <w:sz w:val="20"/>
        </w:rPr>
      </w:pPr>
    </w:p>
    <w:p w14:paraId="11C2B883" w14:textId="77777777" w:rsidR="00BA3678" w:rsidRDefault="00BA3678" w:rsidP="00BA3678">
      <w:pPr>
        <w:rPr>
          <w:rFonts w:ascii="Arial" w:hAnsi="Arial" w:cs="Arial"/>
          <w:sz w:val="20"/>
        </w:rPr>
      </w:pPr>
    </w:p>
    <w:p w14:paraId="762D353B" w14:textId="77777777" w:rsidR="00BA3678" w:rsidRDefault="00BA3678" w:rsidP="00BA3678">
      <w:pPr>
        <w:rPr>
          <w:rFonts w:ascii="Arial" w:hAnsi="Arial" w:cs="Arial"/>
          <w:sz w:val="20"/>
        </w:rPr>
      </w:pPr>
    </w:p>
    <w:p w14:paraId="3F6008C0" w14:textId="77777777" w:rsidR="00BA3678" w:rsidRDefault="00BA3678" w:rsidP="00BA3678">
      <w:pPr>
        <w:rPr>
          <w:rFonts w:ascii="Arial" w:hAnsi="Arial" w:cs="Arial"/>
          <w:sz w:val="20"/>
        </w:rPr>
      </w:pPr>
    </w:p>
    <w:p w14:paraId="623C9260" w14:textId="77777777" w:rsidR="00BA3678" w:rsidRDefault="00BA3678" w:rsidP="00BA3678">
      <w:pPr>
        <w:rPr>
          <w:rFonts w:ascii="Arial" w:hAnsi="Arial" w:cs="Arial"/>
          <w:sz w:val="20"/>
        </w:rPr>
      </w:pPr>
    </w:p>
    <w:p w14:paraId="48C86AE7" w14:textId="77777777" w:rsidR="00BA3678" w:rsidRDefault="00BA3678" w:rsidP="00BA3678">
      <w:pPr>
        <w:rPr>
          <w:rFonts w:ascii="Arial" w:hAnsi="Arial" w:cs="Arial"/>
          <w:sz w:val="20"/>
        </w:rPr>
      </w:pPr>
    </w:p>
    <w:p w14:paraId="4BBA0DB0" w14:textId="77777777" w:rsidR="00BA3678" w:rsidRDefault="00BA3678" w:rsidP="00BA3678">
      <w:pPr>
        <w:rPr>
          <w:rFonts w:ascii="Arial" w:hAnsi="Arial" w:cs="Arial"/>
          <w:sz w:val="20"/>
        </w:rPr>
      </w:pPr>
    </w:p>
    <w:p w14:paraId="3BABF6C0" w14:textId="77777777" w:rsidR="00BA3678" w:rsidRDefault="00BA3678" w:rsidP="00BA3678">
      <w:pPr>
        <w:rPr>
          <w:rFonts w:ascii="Arial" w:hAnsi="Arial" w:cs="Arial"/>
          <w:sz w:val="20"/>
        </w:rPr>
      </w:pPr>
    </w:p>
    <w:p w14:paraId="4F25E71C" w14:textId="77777777" w:rsidR="00BA3678" w:rsidRDefault="00BA3678" w:rsidP="00BA3678">
      <w:pPr>
        <w:rPr>
          <w:rFonts w:ascii="Arial" w:hAnsi="Arial" w:cs="Arial"/>
          <w:sz w:val="20"/>
        </w:rPr>
      </w:pPr>
    </w:p>
    <w:p w14:paraId="7C200252" w14:textId="77777777" w:rsidR="00BA3678" w:rsidRDefault="00BA3678" w:rsidP="00BA3678">
      <w:pPr>
        <w:rPr>
          <w:rFonts w:ascii="Arial" w:hAnsi="Arial" w:cs="Arial"/>
          <w:sz w:val="20"/>
        </w:rPr>
      </w:pPr>
    </w:p>
    <w:p w14:paraId="73060C3B" w14:textId="77777777" w:rsidR="00BA3678" w:rsidRDefault="00BA3678" w:rsidP="00BA3678">
      <w:pPr>
        <w:rPr>
          <w:rFonts w:ascii="Arial" w:hAnsi="Arial" w:cs="Arial"/>
          <w:sz w:val="20"/>
        </w:rPr>
      </w:pPr>
    </w:p>
    <w:p w14:paraId="4A102ACB" w14:textId="77777777" w:rsidR="00BA3678" w:rsidRDefault="00BA3678" w:rsidP="00BA3678">
      <w:pPr>
        <w:rPr>
          <w:rFonts w:ascii="Arial" w:hAnsi="Arial" w:cs="Arial"/>
          <w:sz w:val="20"/>
        </w:rPr>
      </w:pPr>
    </w:p>
    <w:p w14:paraId="69469538" w14:textId="77777777" w:rsidR="00BA3678" w:rsidRDefault="00BA3678" w:rsidP="00BA3678">
      <w:pPr>
        <w:rPr>
          <w:rFonts w:ascii="Arial" w:hAnsi="Arial" w:cs="Arial"/>
          <w:sz w:val="20"/>
        </w:rPr>
      </w:pPr>
    </w:p>
    <w:p w14:paraId="53D77FA0" w14:textId="77777777" w:rsidR="00BA3678" w:rsidRDefault="00BA3678" w:rsidP="00BA3678">
      <w:pPr>
        <w:rPr>
          <w:rFonts w:ascii="Arial" w:hAnsi="Arial" w:cs="Arial"/>
          <w:sz w:val="20"/>
        </w:rPr>
      </w:pPr>
    </w:p>
    <w:p w14:paraId="0D4807C0" w14:textId="77777777" w:rsidR="00BA3678" w:rsidRDefault="00BA3678" w:rsidP="00BA3678">
      <w:pPr>
        <w:rPr>
          <w:rFonts w:ascii="Arial" w:hAnsi="Arial" w:cs="Arial"/>
          <w:sz w:val="20"/>
        </w:rPr>
      </w:pPr>
    </w:p>
    <w:p w14:paraId="1F5E1670" w14:textId="77777777" w:rsidR="00BA3678" w:rsidRDefault="00BA3678" w:rsidP="00BA3678">
      <w:pPr>
        <w:rPr>
          <w:rFonts w:ascii="Arial" w:hAnsi="Arial" w:cs="Arial"/>
          <w:sz w:val="20"/>
        </w:rPr>
      </w:pPr>
    </w:p>
    <w:p w14:paraId="778F7750" w14:textId="77777777" w:rsidR="00BA3678" w:rsidRDefault="00BA3678" w:rsidP="00BA3678">
      <w:pPr>
        <w:rPr>
          <w:rFonts w:ascii="Arial" w:hAnsi="Arial" w:cs="Arial"/>
          <w:sz w:val="20"/>
        </w:rPr>
      </w:pPr>
    </w:p>
    <w:p w14:paraId="55E133D8" w14:textId="77777777" w:rsidR="00BA3678" w:rsidRDefault="00BA3678" w:rsidP="00BA3678">
      <w:pPr>
        <w:rPr>
          <w:rFonts w:ascii="Arial" w:hAnsi="Arial" w:cs="Arial"/>
          <w:sz w:val="20"/>
        </w:rPr>
      </w:pPr>
    </w:p>
    <w:p w14:paraId="3B8EC201" w14:textId="77777777" w:rsidR="00BA3678" w:rsidRDefault="00BA3678" w:rsidP="00BA3678">
      <w:pPr>
        <w:rPr>
          <w:rFonts w:ascii="Arial" w:hAnsi="Arial" w:cs="Arial"/>
          <w:sz w:val="20"/>
        </w:rPr>
      </w:pPr>
    </w:p>
    <w:p w14:paraId="6EB586B6" w14:textId="77777777" w:rsidR="00BA3678" w:rsidRDefault="00BA3678" w:rsidP="00BA3678">
      <w:pPr>
        <w:rPr>
          <w:rFonts w:ascii="Arial" w:hAnsi="Arial" w:cs="Arial"/>
          <w:sz w:val="20"/>
        </w:rPr>
      </w:pPr>
    </w:p>
    <w:p w14:paraId="44FDF8F7" w14:textId="77777777" w:rsidR="00BA3678" w:rsidRDefault="00BA3678" w:rsidP="00BA3678">
      <w:pPr>
        <w:rPr>
          <w:rFonts w:ascii="Arial" w:hAnsi="Arial" w:cs="Arial"/>
          <w:sz w:val="20"/>
        </w:rPr>
      </w:pPr>
    </w:p>
    <w:p w14:paraId="5E44F784" w14:textId="77777777" w:rsidR="00BA3678" w:rsidRDefault="00BA3678" w:rsidP="00BA3678">
      <w:pPr>
        <w:rPr>
          <w:rFonts w:ascii="Arial" w:hAnsi="Arial" w:cs="Arial"/>
          <w:sz w:val="20"/>
        </w:rPr>
      </w:pPr>
    </w:p>
    <w:p w14:paraId="16D8705A" w14:textId="77777777" w:rsidR="00BA3678" w:rsidRDefault="00BA3678" w:rsidP="00BA3678">
      <w:pPr>
        <w:rPr>
          <w:rFonts w:ascii="Arial" w:hAnsi="Arial" w:cs="Arial"/>
          <w:sz w:val="20"/>
        </w:rPr>
      </w:pPr>
    </w:p>
    <w:p w14:paraId="085AE7AB" w14:textId="77777777" w:rsidR="00BA3678" w:rsidRDefault="00BA3678" w:rsidP="00BA3678">
      <w:pPr>
        <w:rPr>
          <w:rFonts w:ascii="Arial" w:hAnsi="Arial" w:cs="Arial"/>
          <w:sz w:val="20"/>
        </w:rPr>
      </w:pPr>
    </w:p>
    <w:p w14:paraId="22763CBA" w14:textId="77777777" w:rsidR="00BA3678" w:rsidRDefault="00BA3678" w:rsidP="00BA3678">
      <w:pPr>
        <w:rPr>
          <w:rFonts w:ascii="Arial" w:hAnsi="Arial" w:cs="Arial"/>
          <w:sz w:val="20"/>
        </w:rPr>
      </w:pPr>
    </w:p>
    <w:p w14:paraId="2D04687D" w14:textId="77777777" w:rsidR="00BA3678" w:rsidRDefault="00BA3678" w:rsidP="00BA3678">
      <w:pPr>
        <w:rPr>
          <w:rFonts w:ascii="Arial" w:hAnsi="Arial" w:cs="Arial"/>
          <w:sz w:val="20"/>
        </w:rPr>
      </w:pPr>
    </w:p>
    <w:p w14:paraId="1D2950BD" w14:textId="77777777" w:rsidR="00BA3678" w:rsidRDefault="00BA3678" w:rsidP="00BA3678">
      <w:pPr>
        <w:rPr>
          <w:rFonts w:ascii="Arial" w:hAnsi="Arial" w:cs="Arial"/>
          <w:sz w:val="20"/>
        </w:rPr>
      </w:pPr>
    </w:p>
    <w:p w14:paraId="550B2785" w14:textId="77777777" w:rsidR="00BA3678" w:rsidRDefault="00BA3678" w:rsidP="00BA3678">
      <w:pPr>
        <w:rPr>
          <w:rFonts w:ascii="Arial" w:hAnsi="Arial" w:cs="Arial"/>
          <w:sz w:val="20"/>
        </w:rPr>
      </w:pPr>
    </w:p>
    <w:p w14:paraId="27F7F063" w14:textId="77777777" w:rsidR="00BA3678" w:rsidRDefault="00BA3678" w:rsidP="00BA3678">
      <w:pPr>
        <w:rPr>
          <w:rFonts w:ascii="Arial" w:hAnsi="Arial" w:cs="Arial"/>
          <w:sz w:val="20"/>
        </w:rPr>
      </w:pPr>
    </w:p>
    <w:p w14:paraId="6DCDBBFC" w14:textId="77777777" w:rsidR="00BA3678" w:rsidRPr="00FB5EA2" w:rsidRDefault="00BA3678" w:rsidP="00BA3678">
      <w:pPr>
        <w:rPr>
          <w:rFonts w:ascii="Arial" w:hAnsi="Arial" w:cs="Arial"/>
          <w:sz w:val="20"/>
        </w:rPr>
      </w:pPr>
    </w:p>
    <w:p w14:paraId="08B1B154" w14:textId="77777777" w:rsidR="00BA3678" w:rsidRDefault="00BA3678" w:rsidP="00BA3678">
      <w:pPr>
        <w:rPr>
          <w:rFonts w:ascii="Arial" w:hAnsi="Arial" w:cs="Arial"/>
          <w:sz w:val="20"/>
        </w:rPr>
      </w:pPr>
    </w:p>
    <w:p w14:paraId="23ECA3E2" w14:textId="77777777" w:rsidR="00BA3678" w:rsidRPr="00D74ABD" w:rsidRDefault="00BA3678" w:rsidP="00F363E1">
      <w:pPr>
        <w:pStyle w:val="ICASBody"/>
      </w:pPr>
      <w:r>
        <w:lastRenderedPageBreak/>
        <w:t xml:space="preserve">Prior to </w:t>
      </w:r>
      <w:r w:rsidRPr="00D74ABD">
        <w:t>remitt</w:t>
      </w:r>
      <w:r>
        <w:t xml:space="preserve">ing any money to the Queen’s and Lord Treasurer’s Remembrancer, their office should be contacted to confirm that they are agreeable to accepting the funds. </w:t>
      </w:r>
    </w:p>
    <w:p w14:paraId="4857C9B3" w14:textId="77777777" w:rsidR="00BA3678" w:rsidRPr="00D74ABD" w:rsidRDefault="00BA3678" w:rsidP="00F363E1">
      <w:pPr>
        <w:pStyle w:val="ICASBody"/>
      </w:pPr>
      <w:r>
        <w:t>It is important to remember that different rules on unclaimed money apply in different countries. If the money is held in an account outside the UK, the practitioner should ensure that the rules of the country are followed, taking legal advice if the application of the rules is not clear. It should not be assumed that the UK rules can be followed elsewhere.</w:t>
      </w:r>
    </w:p>
    <w:p w14:paraId="6AE1C57F" w14:textId="77777777" w:rsidR="00BA3678" w:rsidRDefault="00BA3678" w:rsidP="00F363E1">
      <w:pPr>
        <w:pStyle w:val="Heading2"/>
      </w:pPr>
      <w:r>
        <w:t>Record keeping</w:t>
      </w:r>
    </w:p>
    <w:p w14:paraId="7262816F" w14:textId="77777777" w:rsidR="00BA3678" w:rsidRDefault="00BA3678" w:rsidP="00F363E1">
      <w:pPr>
        <w:pStyle w:val="ICASBody"/>
      </w:pPr>
      <w:r w:rsidRPr="00A90533">
        <w:t xml:space="preserve">A </w:t>
      </w:r>
      <w:r>
        <w:t>f</w:t>
      </w:r>
      <w:r w:rsidRPr="00A90533">
        <w:t>irm must keep records</w:t>
      </w:r>
      <w:r>
        <w:t xml:space="preserve"> </w:t>
      </w:r>
      <w:r w:rsidRPr="00A90533">
        <w:t xml:space="preserve">which show: </w:t>
      </w:r>
    </w:p>
    <w:p w14:paraId="480C7988" w14:textId="2EE304C9" w:rsidR="00BA3678" w:rsidRPr="00FB36F1" w:rsidRDefault="00BA3678" w:rsidP="00F363E1">
      <w:pPr>
        <w:pStyle w:val="Title"/>
      </w:pPr>
      <w:r w:rsidRPr="00FB36F1">
        <w:t xml:space="preserve">details of all money paid into and out of all </w:t>
      </w:r>
      <w:r>
        <w:t>c</w:t>
      </w:r>
      <w:r w:rsidRPr="00FB36F1">
        <w:t xml:space="preserve">lient </w:t>
      </w:r>
      <w:r>
        <w:t>b</w:t>
      </w:r>
      <w:r w:rsidRPr="00FB36F1">
        <w:t xml:space="preserve">ank </w:t>
      </w:r>
      <w:r>
        <w:t>a</w:t>
      </w:r>
      <w:r w:rsidRPr="00FB36F1">
        <w:t>ccounts</w:t>
      </w:r>
      <w:r w:rsidR="00CE6F13">
        <w:t>.</w:t>
      </w:r>
    </w:p>
    <w:p w14:paraId="219F3A23" w14:textId="4E5A0D84" w:rsidR="00BA3678" w:rsidRPr="00FB36F1" w:rsidRDefault="00BA3678" w:rsidP="00F363E1">
      <w:pPr>
        <w:pStyle w:val="Title"/>
      </w:pPr>
      <w:r w:rsidRPr="00FB36F1">
        <w:t xml:space="preserve">entries of all </w:t>
      </w:r>
      <w:r>
        <w:t>c</w:t>
      </w:r>
      <w:r w:rsidRPr="00FB36F1">
        <w:t xml:space="preserve">lients’ </w:t>
      </w:r>
      <w:r>
        <w:t>m</w:t>
      </w:r>
      <w:r w:rsidRPr="00FB36F1">
        <w:t>oney paid direct to the client, or, on the client’s instructions, paid to a third party, identifying that person</w:t>
      </w:r>
      <w:r w:rsidR="00CE6F13">
        <w:t>.</w:t>
      </w:r>
    </w:p>
    <w:p w14:paraId="7486217C" w14:textId="1D68A3D5" w:rsidR="00BA3678" w:rsidRPr="00FB36F1" w:rsidRDefault="00BA3678" w:rsidP="00F363E1">
      <w:pPr>
        <w:pStyle w:val="Title"/>
      </w:pPr>
      <w:r w:rsidRPr="00FB36F1">
        <w:t xml:space="preserve">entries of all cheques received and endorsed over by the </w:t>
      </w:r>
      <w:r>
        <w:t>f</w:t>
      </w:r>
      <w:r w:rsidRPr="00FB36F1">
        <w:t>irm to the client or, on the client’s instruction, endorsed over to a third party, identifying that person</w:t>
      </w:r>
      <w:r w:rsidR="00CE6F13">
        <w:t>.</w:t>
      </w:r>
    </w:p>
    <w:p w14:paraId="58BF8AE8" w14:textId="57E69806" w:rsidR="00BA3678" w:rsidRPr="00FB36F1" w:rsidRDefault="00BA3678" w:rsidP="00F363E1">
      <w:pPr>
        <w:pStyle w:val="Title"/>
      </w:pPr>
      <w:r w:rsidRPr="00FB36F1">
        <w:t>entries of all electronic transfers received or made of money and transferred direct to the client or, on the client’s instructions, transferred to a third party, identifying that person</w:t>
      </w:r>
      <w:r w:rsidR="00CE6F13">
        <w:t>.</w:t>
      </w:r>
      <w:r w:rsidRPr="00FB36F1">
        <w:t xml:space="preserve"> </w:t>
      </w:r>
    </w:p>
    <w:p w14:paraId="4740BFAC" w14:textId="77777777" w:rsidR="00BA3678" w:rsidRDefault="00BA3678" w:rsidP="00F363E1">
      <w:pPr>
        <w:pStyle w:val="Title"/>
      </w:pPr>
      <w:r w:rsidRPr="00FB36F1">
        <w:t xml:space="preserve">details of all transactions on each client’s ledger account which will easily identify the balance held for each client and which will reconcile to the total of </w:t>
      </w:r>
      <w:r>
        <w:t>c</w:t>
      </w:r>
      <w:r w:rsidRPr="00FB36F1">
        <w:t xml:space="preserve">lients’ </w:t>
      </w:r>
      <w:r>
        <w:t>m</w:t>
      </w:r>
      <w:r w:rsidRPr="00FB36F1">
        <w:t xml:space="preserve">oney held in the </w:t>
      </w:r>
      <w:r>
        <w:t>c</w:t>
      </w:r>
      <w:r w:rsidRPr="00FB36F1">
        <w:t xml:space="preserve">lient </w:t>
      </w:r>
      <w:r>
        <w:t>b</w:t>
      </w:r>
      <w:r w:rsidRPr="00FB36F1">
        <w:t xml:space="preserve">ank </w:t>
      </w:r>
      <w:r>
        <w:t>a</w:t>
      </w:r>
      <w:r w:rsidRPr="00FB36F1">
        <w:t>ccounts.</w:t>
      </w:r>
    </w:p>
    <w:p w14:paraId="0BDE72FB" w14:textId="77777777" w:rsidR="00F363E1" w:rsidRPr="00F363E1" w:rsidRDefault="00F363E1" w:rsidP="00F363E1"/>
    <w:p w14:paraId="1A05F7B6" w14:textId="77777777" w:rsidR="00BA3678" w:rsidRPr="00247FDA" w:rsidRDefault="00BA3678" w:rsidP="00F363E1">
      <w:pPr>
        <w:pStyle w:val="ICASBody"/>
      </w:pPr>
      <w:r w:rsidRPr="00247FDA">
        <w:t>Records must be retained for a minimum of 6 years.</w:t>
      </w:r>
    </w:p>
    <w:p w14:paraId="71FCCCDE" w14:textId="0673ABBF" w:rsidR="00BA3678" w:rsidRDefault="00BA3678" w:rsidP="00F363E1">
      <w:pPr>
        <w:pStyle w:val="Heading2"/>
      </w:pPr>
      <w:r>
        <w:t xml:space="preserve">Control and safeguards over </w:t>
      </w:r>
      <w:r w:rsidR="00F363E1">
        <w:t>clients’</w:t>
      </w:r>
      <w:r>
        <w:t xml:space="preserve"> bank accounts</w:t>
      </w:r>
    </w:p>
    <w:p w14:paraId="0A4C52FE" w14:textId="77777777" w:rsidR="00BA3678" w:rsidRDefault="00BA3678" w:rsidP="00F363E1">
      <w:pPr>
        <w:pStyle w:val="ICASBody"/>
      </w:pPr>
      <w:r>
        <w:t xml:space="preserve">Principals within a firm </w:t>
      </w:r>
      <w:r w:rsidRPr="00203379">
        <w:t xml:space="preserve">are responsible for safeguarding </w:t>
      </w:r>
      <w:r>
        <w:t xml:space="preserve">clients’ money </w:t>
      </w:r>
      <w:r w:rsidRPr="00203379">
        <w:t>from misapplication or</w:t>
      </w:r>
      <w:r>
        <w:t xml:space="preserve"> </w:t>
      </w:r>
      <w:r w:rsidRPr="00203379">
        <w:t xml:space="preserve">misappropriation. Access to </w:t>
      </w:r>
      <w:r>
        <w:t xml:space="preserve">clients’ money </w:t>
      </w:r>
      <w:r w:rsidRPr="00203379">
        <w:t xml:space="preserve">should only be </w:t>
      </w:r>
      <w:r>
        <w:t xml:space="preserve">given </w:t>
      </w:r>
      <w:r w:rsidRPr="00203379">
        <w:t>to persons in respect of</w:t>
      </w:r>
      <w:r>
        <w:t xml:space="preserve"> </w:t>
      </w:r>
      <w:r w:rsidRPr="00203379">
        <w:t>whose actions adequate safeguard arrangements are in place. Those arrangements should</w:t>
      </w:r>
      <w:r>
        <w:t xml:space="preserve"> </w:t>
      </w:r>
      <w:r w:rsidRPr="00203379">
        <w:t>include appropriate financial controls</w:t>
      </w:r>
      <w:r>
        <w:t xml:space="preserve">. </w:t>
      </w:r>
    </w:p>
    <w:p w14:paraId="2D1894F2" w14:textId="77777777" w:rsidR="00BA3678" w:rsidRDefault="00BA3678" w:rsidP="00F363E1">
      <w:pPr>
        <w:pStyle w:val="ICASBody"/>
      </w:pPr>
      <w:r>
        <w:t xml:space="preserve">Firms may wish to consider whether it would be appropriate to have fidelity </w:t>
      </w:r>
      <w:r w:rsidRPr="00203379">
        <w:t>insurance</w:t>
      </w:r>
      <w:r>
        <w:t xml:space="preserve"> cover in respect of misapplication or misappropriation of clients’ money</w:t>
      </w:r>
      <w:r w:rsidRPr="00203379">
        <w:t>.</w:t>
      </w:r>
      <w:r>
        <w:t xml:space="preserve"> Many business insurance or professional indemnity insurance policies will include fidelity cover either as standard or as an optional extension to cover.</w:t>
      </w:r>
    </w:p>
    <w:p w14:paraId="2316C402" w14:textId="77777777" w:rsidR="00BA3678" w:rsidRPr="003B5F15" w:rsidRDefault="00BA3678" w:rsidP="00F363E1">
      <w:pPr>
        <w:pStyle w:val="ICASBody"/>
      </w:pPr>
      <w:r>
        <w:t>Clients’</w:t>
      </w:r>
      <w:r w:rsidRPr="003B5F15">
        <w:t xml:space="preserve"> </w:t>
      </w:r>
      <w:r>
        <w:t>m</w:t>
      </w:r>
      <w:r w:rsidRPr="003B5F15">
        <w:t xml:space="preserve">oney </w:t>
      </w:r>
      <w:r>
        <w:t xml:space="preserve">should always be </w:t>
      </w:r>
      <w:r w:rsidRPr="003B5F15">
        <w:t>held subject to appropriate</w:t>
      </w:r>
      <w:r>
        <w:t xml:space="preserve"> </w:t>
      </w:r>
      <w:r w:rsidRPr="003B5F15">
        <w:t>financial controls. These controls may include (but are not limited to):</w:t>
      </w:r>
    </w:p>
    <w:p w14:paraId="3B6A4E21" w14:textId="6BB97E8A" w:rsidR="00BA3678" w:rsidRPr="001301D2" w:rsidRDefault="00BA3678" w:rsidP="00F363E1">
      <w:pPr>
        <w:pStyle w:val="Title"/>
      </w:pPr>
      <w:r w:rsidRPr="001301D2">
        <w:t>ensuring transactional processing is conducted in a timely manner</w:t>
      </w:r>
    </w:p>
    <w:p w14:paraId="784413D0" w14:textId="46385E62" w:rsidR="00BA3678" w:rsidRPr="001301D2" w:rsidRDefault="00BA3678" w:rsidP="00F363E1">
      <w:pPr>
        <w:pStyle w:val="Title"/>
      </w:pPr>
      <w:r w:rsidRPr="001301D2">
        <w:t>allowing only appropriate persons within the entity to conduct transactions</w:t>
      </w:r>
    </w:p>
    <w:p w14:paraId="66B90BDF" w14:textId="7B899EF4" w:rsidR="00BA3678" w:rsidRPr="001301D2" w:rsidRDefault="00BA3678" w:rsidP="00F363E1">
      <w:pPr>
        <w:pStyle w:val="Title"/>
      </w:pPr>
      <w:r w:rsidRPr="001301D2">
        <w:t>adequate supervision of personnel with access to funds</w:t>
      </w:r>
    </w:p>
    <w:p w14:paraId="640946D9" w14:textId="69A3F02C" w:rsidR="00BA3678" w:rsidRPr="001301D2" w:rsidRDefault="00BA3678" w:rsidP="00F363E1">
      <w:pPr>
        <w:pStyle w:val="Title"/>
      </w:pPr>
      <w:r w:rsidRPr="001301D2">
        <w:t>limiting the size of transactions that can be processed by staff</w:t>
      </w:r>
    </w:p>
    <w:p w14:paraId="52EFCEB1" w14:textId="5141B9CD" w:rsidR="00BA3678" w:rsidRPr="001301D2" w:rsidRDefault="00BA3678" w:rsidP="00F363E1">
      <w:pPr>
        <w:pStyle w:val="Title"/>
      </w:pPr>
      <w:r w:rsidRPr="001301D2">
        <w:t xml:space="preserve">implementing secure and robust authorisation procedures within the </w:t>
      </w:r>
      <w:r>
        <w:t>Firm</w:t>
      </w:r>
    </w:p>
    <w:p w14:paraId="54D950AA" w14:textId="6181C3F0" w:rsidR="00BA3678" w:rsidRPr="001301D2" w:rsidRDefault="00BA3678" w:rsidP="00F363E1">
      <w:pPr>
        <w:pStyle w:val="Title"/>
      </w:pPr>
      <w:r w:rsidRPr="001301D2">
        <w:t xml:space="preserve">regular reconciliation of </w:t>
      </w:r>
      <w:r>
        <w:t>client bank accounts (see below)</w:t>
      </w:r>
    </w:p>
    <w:p w14:paraId="2FF866F8" w14:textId="4A46BF8E" w:rsidR="00BA3678" w:rsidRPr="001301D2" w:rsidRDefault="00BA3678" w:rsidP="00F363E1">
      <w:pPr>
        <w:pStyle w:val="Title"/>
      </w:pPr>
      <w:r w:rsidRPr="001301D2">
        <w:t xml:space="preserve">periodic risk assessment of transactional processes within the </w:t>
      </w:r>
      <w:r>
        <w:t>Firm</w:t>
      </w:r>
    </w:p>
    <w:p w14:paraId="6793106F" w14:textId="77777777" w:rsidR="00BA3678" w:rsidRDefault="00BA3678" w:rsidP="00F363E1">
      <w:pPr>
        <w:pStyle w:val="Title"/>
      </w:pPr>
      <w:r w:rsidRPr="001301D2">
        <w:t>requiring joint signatories or joint authentication.</w:t>
      </w:r>
    </w:p>
    <w:p w14:paraId="46F5A1F3" w14:textId="77777777" w:rsidR="00264261" w:rsidRDefault="00264261" w:rsidP="00264261"/>
    <w:p w14:paraId="0FEA5216" w14:textId="77777777" w:rsidR="00BA3678" w:rsidRPr="003B5F15" w:rsidRDefault="00BA3678" w:rsidP="00F363E1">
      <w:pPr>
        <w:pStyle w:val="ICASBody"/>
      </w:pPr>
      <w:r w:rsidRPr="003B5F15">
        <w:t xml:space="preserve">Financial controls and safeguards applied should be proportionate to the number of </w:t>
      </w:r>
      <w:r>
        <w:t xml:space="preserve">client bank accounts </w:t>
      </w:r>
      <w:r w:rsidRPr="003B5F15">
        <w:t>being administered, the quantum of funds held (individually and cumulatively), the number of</w:t>
      </w:r>
      <w:r>
        <w:t xml:space="preserve"> </w:t>
      </w:r>
      <w:r w:rsidRPr="003B5F15">
        <w:t xml:space="preserve">transactions processed and the structure and ownership of the </w:t>
      </w:r>
      <w:r>
        <w:t>firm.</w:t>
      </w:r>
    </w:p>
    <w:p w14:paraId="2B5BCEB7" w14:textId="77777777" w:rsidR="00BA3678" w:rsidRDefault="00BA3678" w:rsidP="00F363E1">
      <w:pPr>
        <w:pStyle w:val="ICASBody"/>
        <w:rPr>
          <w:u w:val="single"/>
        </w:rPr>
      </w:pPr>
      <w:r w:rsidRPr="003B5F15">
        <w:t>Financial controls and safeguards, including levels of insurance cover, should be fully</w:t>
      </w:r>
      <w:r>
        <w:t xml:space="preserve"> </w:t>
      </w:r>
      <w:r w:rsidRPr="003B5F15">
        <w:t>documented and reviewed for their adequacy, as and when appropriate</w:t>
      </w:r>
      <w:r>
        <w:t xml:space="preserve">, </w:t>
      </w:r>
      <w:r w:rsidRPr="003B5F15">
        <w:t xml:space="preserve">and at </w:t>
      </w:r>
      <w:r>
        <w:t>least</w:t>
      </w:r>
      <w:r w:rsidRPr="003B5F15">
        <w:t xml:space="preserve"> annually</w:t>
      </w:r>
      <w:r>
        <w:t xml:space="preserve"> as part of the Annual Compliance Review (see below)</w:t>
      </w:r>
      <w:r w:rsidRPr="003B5F15">
        <w:t>.</w:t>
      </w:r>
    </w:p>
    <w:p w14:paraId="7C160936" w14:textId="77777777" w:rsidR="00BA3678" w:rsidRPr="007A6797" w:rsidRDefault="00BA3678" w:rsidP="00264261">
      <w:pPr>
        <w:pStyle w:val="Heading3"/>
      </w:pPr>
      <w:r w:rsidRPr="007A6797">
        <w:t xml:space="preserve">Clients </w:t>
      </w:r>
      <w:r>
        <w:t>b</w:t>
      </w:r>
      <w:r w:rsidRPr="007A6797">
        <w:t xml:space="preserve">ank </w:t>
      </w:r>
      <w:r>
        <w:t>a</w:t>
      </w:r>
      <w:r w:rsidRPr="007A6797">
        <w:t>ccount reconciliations</w:t>
      </w:r>
    </w:p>
    <w:p w14:paraId="746C4870" w14:textId="77777777" w:rsidR="00BA3678" w:rsidRDefault="00BA3678" w:rsidP="00264261">
      <w:pPr>
        <w:pStyle w:val="ICASBody"/>
      </w:pPr>
      <w:r>
        <w:t>R</w:t>
      </w:r>
      <w:r w:rsidRPr="00A01D45">
        <w:t xml:space="preserve">econciliation of the </w:t>
      </w:r>
      <w:r>
        <w:t>c</w:t>
      </w:r>
      <w:r w:rsidRPr="00A01D45">
        <w:t xml:space="preserve">lient </w:t>
      </w:r>
      <w:r>
        <w:t>b</w:t>
      </w:r>
      <w:r w:rsidRPr="00A01D45">
        <w:t xml:space="preserve">ank </w:t>
      </w:r>
      <w:r>
        <w:t>a</w:t>
      </w:r>
      <w:r w:rsidRPr="00A01D45">
        <w:t>ccount</w:t>
      </w:r>
      <w:r>
        <w:t>s should be undertaken</w:t>
      </w:r>
      <w:r w:rsidRPr="00A01D45">
        <w:t xml:space="preserve"> at least once every five </w:t>
      </w:r>
      <w:proofErr w:type="gramStart"/>
      <w:r w:rsidRPr="00A01D45">
        <w:t>weeks</w:t>
      </w:r>
      <w:proofErr w:type="gramEnd"/>
      <w:r w:rsidRPr="00A01D45">
        <w:t xml:space="preserve"> and any differences must be rectified immediately. This process should include a reconciliation of the total balances of </w:t>
      </w:r>
      <w:r>
        <w:t xml:space="preserve">all </w:t>
      </w:r>
      <w:r w:rsidRPr="00A01D45">
        <w:t xml:space="preserve">your </w:t>
      </w:r>
      <w:r>
        <w:t>c</w:t>
      </w:r>
      <w:r w:rsidRPr="00A01D45">
        <w:t xml:space="preserve">lient </w:t>
      </w:r>
      <w:r>
        <w:t>b</w:t>
      </w:r>
      <w:r w:rsidRPr="00A01D45">
        <w:t xml:space="preserve">ank </w:t>
      </w:r>
      <w:r>
        <w:t>a</w:t>
      </w:r>
      <w:r w:rsidRPr="00A01D45">
        <w:t>ccounts and a reconciliation of each individual client balance</w:t>
      </w:r>
      <w:r>
        <w:t>.</w:t>
      </w:r>
    </w:p>
    <w:p w14:paraId="7923D936" w14:textId="77777777" w:rsidR="00BA3678" w:rsidRDefault="00BA3678" w:rsidP="00264261">
      <w:pPr>
        <w:pStyle w:val="ICASBody"/>
      </w:pPr>
      <w:r>
        <w:lastRenderedPageBreak/>
        <w:t>The reconciliations must be retained for a minimum of 6 years.</w:t>
      </w:r>
    </w:p>
    <w:p w14:paraId="601559D0" w14:textId="77777777" w:rsidR="00BA3678" w:rsidRPr="004864F0" w:rsidRDefault="00BA3678" w:rsidP="00264261">
      <w:pPr>
        <w:pStyle w:val="Heading3"/>
      </w:pPr>
      <w:r w:rsidRPr="004864F0">
        <w:t>Annual compliance review</w:t>
      </w:r>
    </w:p>
    <w:p w14:paraId="2E237634" w14:textId="5D24AEFF" w:rsidR="00BA3678" w:rsidRDefault="00BA3678" w:rsidP="00264261">
      <w:pPr>
        <w:pStyle w:val="ICASBody"/>
      </w:pPr>
      <w:r>
        <w:t>A</w:t>
      </w:r>
      <w:r w:rsidRPr="00D73081">
        <w:t xml:space="preserve"> compliance review of the procedures in place to ensure compliance with the </w:t>
      </w:r>
      <w:r w:rsidR="00AD7CB8">
        <w:t xml:space="preserve">CMR </w:t>
      </w:r>
      <w:r>
        <w:t xml:space="preserve">must be undertaken at least annually. </w:t>
      </w:r>
    </w:p>
    <w:p w14:paraId="217A631D" w14:textId="5AF54FC2" w:rsidR="00BA3678" w:rsidRDefault="00BA3678" w:rsidP="00264261">
      <w:pPr>
        <w:pStyle w:val="ICASBody"/>
      </w:pPr>
      <w:r>
        <w:t xml:space="preserve">A specimen document </w:t>
      </w:r>
      <w:hyperlink r:id="rId14" w:history="1">
        <w:r w:rsidRPr="00A44BC4">
          <w:rPr>
            <w:rStyle w:val="Hyperlink"/>
          </w:rPr>
          <w:t>annual compliance review</w:t>
        </w:r>
      </w:hyperlink>
      <w:r>
        <w:t xml:space="preserve"> is available separately.</w:t>
      </w:r>
    </w:p>
    <w:p w14:paraId="6F39082E" w14:textId="77777777" w:rsidR="00BA3678" w:rsidRDefault="00BA3678" w:rsidP="00264261">
      <w:pPr>
        <w:pStyle w:val="ICASBody"/>
      </w:pPr>
      <w:r>
        <w:t>E</w:t>
      </w:r>
      <w:r w:rsidRPr="00D73081">
        <w:t xml:space="preserve">vidence </w:t>
      </w:r>
      <w:r>
        <w:t>of the review should be retained for a period of 6 years.</w:t>
      </w:r>
    </w:p>
    <w:p w14:paraId="79FBB2D6" w14:textId="77777777" w:rsidR="00BA3678" w:rsidRDefault="00BA3678" w:rsidP="00650FAB">
      <w:pPr>
        <w:pStyle w:val="Heading2"/>
      </w:pPr>
      <w:r>
        <w:t>Control over a client’s own bank account</w:t>
      </w:r>
    </w:p>
    <w:p w14:paraId="4808ABC3" w14:textId="77777777" w:rsidR="00BA3678" w:rsidRPr="00D94DE5" w:rsidRDefault="00BA3678" w:rsidP="00650FAB">
      <w:pPr>
        <w:pStyle w:val="ICASBody"/>
      </w:pPr>
      <w:r>
        <w:t xml:space="preserve">Firms will on occasion have the authority to instruct and authorise transactions on the client’s own bank account. This may for instance facilitate the payment of wages and salaries where the firm provides a payroll service. This will also include trust accounts, where trust monies will require to be held in the </w:t>
      </w:r>
      <w:proofErr w:type="gramStart"/>
      <w:r>
        <w:t>trustees</w:t>
      </w:r>
      <w:proofErr w:type="gramEnd"/>
      <w:r>
        <w:t xml:space="preserve"> names, as required by law.</w:t>
      </w:r>
    </w:p>
    <w:p w14:paraId="0FB22099" w14:textId="77777777" w:rsidR="00BA3678" w:rsidRDefault="00BA3678" w:rsidP="00650FAB">
      <w:pPr>
        <w:pStyle w:val="ICASBody"/>
      </w:pPr>
      <w:r w:rsidRPr="00D94DE5">
        <w:t xml:space="preserve">Where a </w:t>
      </w:r>
      <w:r>
        <w:t>f</w:t>
      </w:r>
      <w:r w:rsidRPr="00D94DE5">
        <w:t xml:space="preserve">irm has control over a </w:t>
      </w:r>
      <w:r>
        <w:t>c</w:t>
      </w:r>
      <w:r w:rsidRPr="00D94DE5">
        <w:t>lient’s own bank account</w:t>
      </w:r>
      <w:r>
        <w:t xml:space="preserve"> (partial, complete, solely or jointly)</w:t>
      </w:r>
      <w:r w:rsidRPr="00D94DE5">
        <w:t>, it must ensure that it has the specific written authority of the client</w:t>
      </w:r>
      <w:r>
        <w:t xml:space="preserve"> and </w:t>
      </w:r>
      <w:r w:rsidRPr="00D94DE5">
        <w:t xml:space="preserve">acknowledged by the </w:t>
      </w:r>
      <w:r>
        <w:t>b</w:t>
      </w:r>
      <w:r w:rsidRPr="00D94DE5">
        <w:t>ank</w:t>
      </w:r>
      <w:r>
        <w:t>.</w:t>
      </w:r>
    </w:p>
    <w:p w14:paraId="3F994F5F" w14:textId="77777777" w:rsidR="00BA3678" w:rsidRDefault="00BA3678" w:rsidP="00650FAB">
      <w:pPr>
        <w:pStyle w:val="ICASBody"/>
      </w:pPr>
      <w:r>
        <w:t xml:space="preserve">The firm must maintain </w:t>
      </w:r>
      <w:r w:rsidRPr="00D94DE5">
        <w:t>adequate records of the transactions</w:t>
      </w:r>
      <w:r>
        <w:t xml:space="preserve"> over which it has exercised its control and carried out through the client’s own bank account.</w:t>
      </w:r>
    </w:p>
    <w:p w14:paraId="7786B56B" w14:textId="77777777" w:rsidR="00BA3678" w:rsidRPr="008E3282" w:rsidRDefault="00BA3678" w:rsidP="00650FAB">
      <w:pPr>
        <w:pStyle w:val="Heading2"/>
      </w:pPr>
      <w:r w:rsidRPr="008E3282">
        <w:t xml:space="preserve">Sole Principals &amp; alternates </w:t>
      </w:r>
    </w:p>
    <w:p w14:paraId="05EAB5C6" w14:textId="77777777" w:rsidR="00BA3678" w:rsidRDefault="00BA3678" w:rsidP="00650FAB">
      <w:pPr>
        <w:pStyle w:val="ICASBody"/>
      </w:pPr>
      <w:r>
        <w:t xml:space="preserve">The CMR require a firm, which is a sole practitioner, to certify in writing to ICAS that arrangements are in place to enable the proper distribution or processing of </w:t>
      </w:r>
      <w:proofErr w:type="spellStart"/>
      <w:proofErr w:type="gramStart"/>
      <w:r>
        <w:t>clients</w:t>
      </w:r>
      <w:proofErr w:type="spellEnd"/>
      <w:proofErr w:type="gramEnd"/>
      <w:r>
        <w:t xml:space="preserve"> money held by the firm, with minimum disruption, in the event of the incapacity or death of the sole practitioner. </w:t>
      </w:r>
    </w:p>
    <w:p w14:paraId="184C0FA0" w14:textId="77777777" w:rsidR="00BA3678" w:rsidRDefault="00BA3678" w:rsidP="00650FAB">
      <w:pPr>
        <w:pStyle w:val="ICASBody"/>
      </w:pPr>
      <w:r>
        <w:t xml:space="preserve">An alternate can be an individual who is member of one of the professional bodies comprising of the Consultative Committee of Accountancy Bodies (CCAB) and holds a current practicing certificate issued by the professional </w:t>
      </w:r>
      <w:proofErr w:type="gramStart"/>
      <w:r>
        <w:t>body</w:t>
      </w:r>
      <w:proofErr w:type="gramEnd"/>
      <w:r>
        <w:t xml:space="preserve"> or it could be a corporate entity, providing that the majority of its principals are individuals who meet the aforementioned criteria.</w:t>
      </w:r>
    </w:p>
    <w:p w14:paraId="3900246C" w14:textId="77777777" w:rsidR="00BA3678" w:rsidRPr="00720C3F" w:rsidRDefault="00BA3678" w:rsidP="00650FAB">
      <w:pPr>
        <w:pStyle w:val="ICASBody"/>
      </w:pPr>
      <w:r>
        <w:t xml:space="preserve">IPs should </w:t>
      </w:r>
      <w:r w:rsidRPr="00720C3F">
        <w:t xml:space="preserve">ensure that the arrangement is with a firm which contains at least one </w:t>
      </w:r>
      <w:r>
        <w:t>IP</w:t>
      </w:r>
      <w:r w:rsidRPr="00720C3F">
        <w:t xml:space="preserve"> or, if it is being made with an individual, that they are an </w:t>
      </w:r>
      <w:r>
        <w:t>IP</w:t>
      </w:r>
      <w:r w:rsidRPr="00720C3F">
        <w:t xml:space="preserve">. </w:t>
      </w:r>
      <w:r>
        <w:t xml:space="preserve">The alternate must hold a </w:t>
      </w:r>
      <w:r w:rsidRPr="00720C3F">
        <w:t>current insolvency licence</w:t>
      </w:r>
      <w:r>
        <w:t xml:space="preserve"> with the appropriate authorisations (personal, corporate or full)</w:t>
      </w:r>
      <w:r w:rsidRPr="00720C3F">
        <w:t>.</w:t>
      </w:r>
      <w:r>
        <w:t xml:space="preserve"> The insolvency licence held by the alternate does not have to be an appointment taking licence.</w:t>
      </w:r>
    </w:p>
    <w:p w14:paraId="55821F05" w14:textId="77777777" w:rsidR="00BA3678" w:rsidRDefault="00BA3678" w:rsidP="00650FAB">
      <w:pPr>
        <w:pStyle w:val="ICASBody"/>
      </w:pPr>
      <w:r w:rsidRPr="79F22B36">
        <w:t xml:space="preserve">If the </w:t>
      </w:r>
      <w:r>
        <w:t>f</w:t>
      </w:r>
      <w:r w:rsidRPr="79F22B36">
        <w:t xml:space="preserve">irm carries out registered audit work, </w:t>
      </w:r>
      <w:r>
        <w:t xml:space="preserve">it is recommended that </w:t>
      </w:r>
      <w:r w:rsidRPr="79F22B36">
        <w:t xml:space="preserve">the </w:t>
      </w:r>
      <w:r>
        <w:t>f</w:t>
      </w:r>
      <w:r w:rsidRPr="79F22B36">
        <w:t xml:space="preserve">irm also </w:t>
      </w:r>
      <w:r>
        <w:t xml:space="preserve">has alternate </w:t>
      </w:r>
      <w:r w:rsidR="008477B6">
        <w:t>a</w:t>
      </w:r>
      <w:r>
        <w:t>rrangements in place with another audit registered firm for audit work to be completed in the event of the death or incapacity of the sole practitioner as statutory auditor</w:t>
      </w:r>
      <w:r w:rsidRPr="79F22B36">
        <w:t>.</w:t>
      </w:r>
      <w:r>
        <w:t xml:space="preserve"> It is not necessary that the alternate for CMR purposes is the same as any alternate for regulated audit work or other client work (other than as noted above in relation to insolvency work).</w:t>
      </w:r>
    </w:p>
    <w:p w14:paraId="7BECF035" w14:textId="77777777" w:rsidR="00BA3678" w:rsidRDefault="00BA3678" w:rsidP="00650FAB">
      <w:pPr>
        <w:pStyle w:val="ICASBody"/>
      </w:pPr>
      <w:r>
        <w:t>It is recommended that alternate arrangements are documented in writing.</w:t>
      </w:r>
    </w:p>
    <w:p w14:paraId="4BC828F3" w14:textId="77777777" w:rsidR="00BA3678" w:rsidRPr="009D19FD" w:rsidRDefault="00BA3678" w:rsidP="00650FAB">
      <w:pPr>
        <w:pStyle w:val="ICASBody"/>
      </w:pPr>
      <w:r w:rsidRPr="009D19FD">
        <w:t>Clients’ money must be available with minimal disruption. The alternate must be able to legally operate relevant bank accounts when necessary.</w:t>
      </w:r>
    </w:p>
    <w:p w14:paraId="58D7CA51" w14:textId="77777777" w:rsidR="00BA3678" w:rsidRPr="009D19FD" w:rsidRDefault="00BA3678" w:rsidP="00650FAB">
      <w:pPr>
        <w:pStyle w:val="ICASBody"/>
      </w:pPr>
      <w:r w:rsidRPr="009D19FD">
        <w:t xml:space="preserve">Banks should be made aware of the alternate arrangements.  It is unclear if all banks will give effect to alternate mandates and in any case any agency arrangement would cease on death of a practitioner. </w:t>
      </w:r>
      <w:r>
        <w:t>A</w:t>
      </w:r>
      <w:r w:rsidRPr="009D19FD">
        <w:t>lternate</w:t>
      </w:r>
      <w:r>
        <w:t>s</w:t>
      </w:r>
      <w:r w:rsidRPr="009D19FD">
        <w:t xml:space="preserve"> should therefore be a joint account holder, with the continuity agreement including provisions that they shall not provide instructions or request information in relation to the bank accounts except in event of incapacity or death.</w:t>
      </w:r>
    </w:p>
    <w:p w14:paraId="69796FAC" w14:textId="77777777" w:rsidR="00BA3678" w:rsidRDefault="00BA3678" w:rsidP="00650FAB">
      <w:pPr>
        <w:pStyle w:val="ICASBody"/>
      </w:pPr>
      <w:r w:rsidRPr="009D19FD">
        <w:t>Any breach of the agreement by the alternate would not only give rise to civil remedies for breach of contract but would also be viewed by ICAS as a departure from acceptable standards of conduct and may result in disciplinary proceedings.</w:t>
      </w:r>
    </w:p>
    <w:p w14:paraId="3E3F8DDF" w14:textId="77777777" w:rsidR="004F19D2" w:rsidRDefault="004F19D2" w:rsidP="00E6739F"/>
    <w:p w14:paraId="284593BC" w14:textId="47E12C58" w:rsidR="00144954" w:rsidRPr="00DA171C" w:rsidRDefault="00DA171C" w:rsidP="007528AA">
      <w:pPr>
        <w:pStyle w:val="Heading2"/>
      </w:pPr>
      <w:r w:rsidRPr="00DA171C">
        <w:t>Specimen Documents</w:t>
      </w:r>
    </w:p>
    <w:p w14:paraId="17ADCBC9" w14:textId="77777777" w:rsidR="00AE69BE" w:rsidRDefault="00AE69BE" w:rsidP="00AE69BE">
      <w:pPr>
        <w:pStyle w:val="ICASBody"/>
      </w:pPr>
      <w:r>
        <w:t xml:space="preserve">Several specimen documents/sample </w:t>
      </w:r>
      <w:proofErr w:type="gramStart"/>
      <w:r>
        <w:t>wording</w:t>
      </w:r>
      <w:proofErr w:type="gramEnd"/>
      <w:r>
        <w:t xml:space="preserve"> are available to assist firms with compliance with the CMR.</w:t>
      </w:r>
    </w:p>
    <w:p w14:paraId="016F8E6D" w14:textId="77777777" w:rsidR="00AE69BE" w:rsidRPr="004B70EC" w:rsidRDefault="00AE69BE" w:rsidP="00AE69BE">
      <w:pPr>
        <w:pStyle w:val="ICASBody"/>
      </w:pPr>
      <w:r w:rsidRPr="004B70EC">
        <w:t xml:space="preserve">Within the </w:t>
      </w:r>
      <w:r>
        <w:t>specimen documents</w:t>
      </w:r>
      <w:r w:rsidRPr="004B70EC">
        <w:t xml:space="preserve">, guidance and instruction are shown in italics. None of this italicised text is for inclusion in your </w:t>
      </w:r>
      <w:r>
        <w:t>finalised document</w:t>
      </w:r>
      <w:r w:rsidRPr="004B70EC">
        <w:t xml:space="preserve">, and you should be careful to ensure that it is removed from the final copy. </w:t>
      </w:r>
    </w:p>
    <w:p w14:paraId="2FB7AC1D" w14:textId="77777777" w:rsidR="00AE69BE" w:rsidRPr="004B70EC" w:rsidRDefault="00AE69BE" w:rsidP="00AE69BE">
      <w:pPr>
        <w:pStyle w:val="ICASBody"/>
      </w:pPr>
      <w:r w:rsidRPr="004B70EC">
        <w:t xml:space="preserve">In some paragraphs, we have provided optional or alternative wording. This is shown in [square brackets] and each suggestion requires your individual consideration and possible amendment. </w:t>
      </w:r>
    </w:p>
    <w:p w14:paraId="34529713" w14:textId="77777777" w:rsidR="00AE69BE" w:rsidRDefault="00AE69BE" w:rsidP="00AE69BE">
      <w:pPr>
        <w:pStyle w:val="ICASBody"/>
      </w:pPr>
      <w:r w:rsidRPr="004B70EC">
        <w:t>If additional specific information is needed, such as a name or year end, we have indicated this by a dotted line: .................</w:t>
      </w:r>
      <w:r>
        <w:t xml:space="preserve"> or have provided a field for completion</w:t>
      </w:r>
    </w:p>
    <w:p w14:paraId="5F7A7E44" w14:textId="77777777" w:rsidR="00AE69BE" w:rsidRDefault="00AE69BE" w:rsidP="00AE69BE">
      <w:pPr>
        <w:pStyle w:val="ICASBody"/>
      </w:pPr>
      <w:r>
        <w:t>Download individual documents:</w:t>
      </w:r>
    </w:p>
    <w:p w14:paraId="794AEE66" w14:textId="77777777" w:rsidR="00AE69BE" w:rsidRDefault="00000000" w:rsidP="00AE69BE">
      <w:pPr>
        <w:pStyle w:val="ICASBody"/>
      </w:pPr>
      <w:hyperlink r:id="rId15" w:history="1">
        <w:r w:rsidR="00AE69BE" w:rsidRPr="00860016">
          <w:rPr>
            <w:rStyle w:val="Hyperlink"/>
          </w:rPr>
          <w:t>Specimen letter to bank in UK regarding client bank account</w:t>
        </w:r>
      </w:hyperlink>
      <w:r w:rsidR="00AE69BE">
        <w:t xml:space="preserve"> </w:t>
      </w:r>
    </w:p>
    <w:p w14:paraId="4AA8B298" w14:textId="77777777" w:rsidR="00AE69BE" w:rsidRDefault="00000000" w:rsidP="00AE69BE">
      <w:pPr>
        <w:pStyle w:val="ICASBody"/>
      </w:pPr>
      <w:hyperlink r:id="rId16" w:history="1">
        <w:r w:rsidR="00AE69BE" w:rsidRPr="00C74FDD">
          <w:rPr>
            <w:rStyle w:val="Hyperlink"/>
          </w:rPr>
          <w:t>Annual Compliance Review</w:t>
        </w:r>
      </w:hyperlink>
      <w:r w:rsidR="00AE69BE">
        <w:t xml:space="preserve"> </w:t>
      </w:r>
    </w:p>
    <w:p w14:paraId="242193DE" w14:textId="293E366E" w:rsidR="00D077C1" w:rsidRDefault="00000000" w:rsidP="00AE69BE">
      <w:pPr>
        <w:pStyle w:val="ICASBody"/>
      </w:pPr>
      <w:hyperlink r:id="rId17" w:history="1">
        <w:r w:rsidR="00F311F8" w:rsidRPr="00F311F8">
          <w:rPr>
            <w:rStyle w:val="Hyperlink"/>
          </w:rPr>
          <w:t>Insolvency Funds Compliance Review</w:t>
        </w:r>
      </w:hyperlink>
    </w:p>
    <w:p w14:paraId="4C0C5B23" w14:textId="77777777" w:rsidR="00DD2574" w:rsidRPr="00144954" w:rsidRDefault="00DD2574" w:rsidP="007030EE">
      <w:pPr>
        <w:pStyle w:val="ICASBody"/>
      </w:pPr>
    </w:p>
    <w:p w14:paraId="10415BFB" w14:textId="2DF9CCCC" w:rsidR="00144954" w:rsidRPr="0040042F" w:rsidRDefault="0040042F" w:rsidP="007528AA">
      <w:pPr>
        <w:pStyle w:val="Heading2"/>
      </w:pPr>
      <w:r w:rsidRPr="34FD072D">
        <w:t>Useful links</w:t>
      </w:r>
    </w:p>
    <w:p w14:paraId="43D208B5" w14:textId="3431A24B" w:rsidR="002E24DF" w:rsidRDefault="00000000" w:rsidP="002E24DF">
      <w:pPr>
        <w:spacing w:before="120"/>
        <w:rPr>
          <w:rFonts w:ascii="Arial" w:hAnsi="Arial" w:cs="Arial"/>
          <w:sz w:val="20"/>
        </w:rPr>
      </w:pPr>
      <w:hyperlink r:id="rId18" w:history="1">
        <w:r w:rsidR="002E24DF" w:rsidRPr="00EC5A39">
          <w:rPr>
            <w:rStyle w:val="Hyperlink"/>
            <w:rFonts w:ascii="Arial" w:hAnsi="Arial" w:cs="Arial"/>
            <w:sz w:val="20"/>
          </w:rPr>
          <w:t>Clients’ Money Regulations</w:t>
        </w:r>
      </w:hyperlink>
    </w:p>
    <w:p w14:paraId="6BA4E590" w14:textId="6112F4C0" w:rsidR="002E24DF" w:rsidRDefault="00000000" w:rsidP="002E24DF">
      <w:pPr>
        <w:spacing w:before="120"/>
        <w:rPr>
          <w:rFonts w:ascii="Arial" w:hAnsi="Arial" w:cs="Arial"/>
          <w:sz w:val="20"/>
        </w:rPr>
      </w:pPr>
      <w:hyperlink r:id="rId19" w:history="1">
        <w:r w:rsidR="002E24DF" w:rsidRPr="00E628FC">
          <w:rPr>
            <w:rStyle w:val="Hyperlink"/>
            <w:rFonts w:ascii="Arial" w:hAnsi="Arial" w:cs="Arial"/>
            <w:sz w:val="20"/>
          </w:rPr>
          <w:t>CCAB AML Guidance for the Accountancy Sector</w:t>
        </w:r>
      </w:hyperlink>
    </w:p>
    <w:p w14:paraId="3007AF0A" w14:textId="77777777" w:rsidR="002E24DF" w:rsidRPr="007B199F" w:rsidRDefault="00000000" w:rsidP="002E24DF">
      <w:pPr>
        <w:spacing w:before="120"/>
        <w:rPr>
          <w:rFonts w:ascii="Arial" w:hAnsi="Arial" w:cs="Arial"/>
          <w:sz w:val="20"/>
        </w:rPr>
      </w:pPr>
      <w:hyperlink r:id="rId20" w:history="1">
        <w:r w:rsidR="002E24DF" w:rsidRPr="007B199F">
          <w:rPr>
            <w:rStyle w:val="Hyperlink"/>
            <w:rFonts w:ascii="Arial" w:hAnsi="Arial" w:cs="Arial"/>
            <w:sz w:val="20"/>
          </w:rPr>
          <w:t>ICAS Code of Ethics</w:t>
        </w:r>
      </w:hyperlink>
    </w:p>
    <w:p w14:paraId="5DE65B64" w14:textId="7F52E2CE" w:rsidR="00144954" w:rsidRDefault="00144954" w:rsidP="007030EE">
      <w:pPr>
        <w:pStyle w:val="ICASBody"/>
      </w:pPr>
      <w:r w:rsidRPr="00144954">
        <w:t xml:space="preserve"> </w:t>
      </w:r>
    </w:p>
    <w:p w14:paraId="04799376" w14:textId="0A052F77" w:rsidR="00DA171C" w:rsidRPr="00DA171C" w:rsidRDefault="00DA171C" w:rsidP="007528AA">
      <w:pPr>
        <w:pStyle w:val="Heading2"/>
      </w:pPr>
      <w:r w:rsidRPr="34FD072D">
        <w:t>Further information</w:t>
      </w:r>
      <w:r w:rsidR="2A0D2C4D" w:rsidRPr="34FD072D">
        <w:t xml:space="preserve"> and assistance</w:t>
      </w:r>
    </w:p>
    <w:p w14:paraId="09DB4D1F" w14:textId="41C4BEA7" w:rsidR="008A1834" w:rsidRPr="00144954" w:rsidRDefault="2A0D2C4D" w:rsidP="007528AA">
      <w:pPr>
        <w:pStyle w:val="ICASBody"/>
      </w:pPr>
      <w:r w:rsidRPr="34FD072D">
        <w:t xml:space="preserve">Further assistance and information can be obtained from the Practice Support team. You can contact them through the Practice Support section of the </w:t>
      </w:r>
      <w:hyperlink r:id="rId21">
        <w:r w:rsidRPr="007528AA">
          <w:rPr>
            <w:rStyle w:val="Hyperlink"/>
          </w:rPr>
          <w:t>ICAS Technical helpdesk</w:t>
        </w:r>
      </w:hyperlink>
      <w:r w:rsidRPr="34FD072D">
        <w:t>.</w:t>
      </w:r>
    </w:p>
    <w:p w14:paraId="03B1667E" w14:textId="231C7556" w:rsidR="008A1834" w:rsidRPr="00144954" w:rsidRDefault="008A1834" w:rsidP="007030EE">
      <w:pPr>
        <w:pStyle w:val="ICASBody"/>
      </w:pPr>
    </w:p>
    <w:p w14:paraId="6AC793AB" w14:textId="77777777" w:rsidR="000D5025" w:rsidRDefault="000D5025" w:rsidP="007030EE">
      <w:pPr>
        <w:pStyle w:val="ICASBody"/>
      </w:pPr>
    </w:p>
    <w:p w14:paraId="18FC98D4" w14:textId="77777777" w:rsidR="008477B6" w:rsidRDefault="008477B6" w:rsidP="007030EE">
      <w:pPr>
        <w:pStyle w:val="ICASBody"/>
      </w:pPr>
    </w:p>
    <w:p w14:paraId="7926CC92" w14:textId="77777777" w:rsidR="000D5025" w:rsidRDefault="000D5025" w:rsidP="007030EE">
      <w:pPr>
        <w:pStyle w:val="ICASBody"/>
      </w:pPr>
    </w:p>
    <w:p w14:paraId="4A21B02D" w14:textId="2144C7E6" w:rsidR="00880E84" w:rsidRPr="008477B6" w:rsidRDefault="00880E84" w:rsidP="007528AA">
      <w:pPr>
        <w:pStyle w:val="ICASBoxOutHeading"/>
        <w:rPr>
          <w:sz w:val="18"/>
          <w:szCs w:val="18"/>
        </w:rPr>
      </w:pPr>
      <w:r w:rsidRPr="008477B6">
        <w:rPr>
          <w:sz w:val="18"/>
          <w:szCs w:val="18"/>
        </w:rPr>
        <w:t>Disclaimer:</w:t>
      </w:r>
    </w:p>
    <w:p w14:paraId="0970923B" w14:textId="77777777" w:rsidR="00880E84" w:rsidRPr="008477B6" w:rsidRDefault="00880E84" w:rsidP="00880E84">
      <w:pPr>
        <w:jc w:val="both"/>
        <w:rPr>
          <w:b/>
          <w:bCs/>
          <w:sz w:val="18"/>
          <w:szCs w:val="18"/>
        </w:rPr>
      </w:pPr>
    </w:p>
    <w:p w14:paraId="3EA699C8" w14:textId="3FE00C01" w:rsidR="00880E84" w:rsidRPr="008477B6" w:rsidRDefault="00880E84" w:rsidP="007528AA">
      <w:pPr>
        <w:pStyle w:val="ICASBoxOutBody"/>
        <w:rPr>
          <w:sz w:val="18"/>
          <w:szCs w:val="18"/>
        </w:rPr>
      </w:pPr>
      <w:r w:rsidRPr="008477B6">
        <w:rPr>
          <w:sz w:val="18"/>
          <w:szCs w:val="18"/>
        </w:rPr>
        <w:t xml:space="preserve">This document has been published by ICAS for information purposes only and ICAS cannot accept responsibility for any person acting or refraining to act </w:t>
      </w:r>
      <w:proofErr w:type="gramStart"/>
      <w:r w:rsidRPr="008477B6">
        <w:rPr>
          <w:sz w:val="18"/>
          <w:szCs w:val="18"/>
        </w:rPr>
        <w:t>as a result of</w:t>
      </w:r>
      <w:proofErr w:type="gramEnd"/>
      <w:r w:rsidRPr="008477B6">
        <w:rPr>
          <w:sz w:val="18"/>
          <w:szCs w:val="18"/>
        </w:rPr>
        <w:t xml:space="preserve"> any material contained within this guidance. Recipients should make their own independent evaluation of this information and no action should be taken, solely relying on it. The </w:t>
      </w:r>
      <w:r w:rsidR="006C31CC" w:rsidRPr="008477B6">
        <w:rPr>
          <w:sz w:val="18"/>
          <w:szCs w:val="18"/>
        </w:rPr>
        <w:t>document</w:t>
      </w:r>
      <w:r w:rsidRPr="008477B6">
        <w:rPr>
          <w:sz w:val="18"/>
          <w:szCs w:val="18"/>
        </w:rPr>
        <w:t xml:space="preserve"> is intended to assist members in the general application of the </w:t>
      </w:r>
      <w:r w:rsidR="006C31CC" w:rsidRPr="008477B6">
        <w:rPr>
          <w:sz w:val="18"/>
          <w:szCs w:val="18"/>
        </w:rPr>
        <w:t>subject</w:t>
      </w:r>
      <w:r w:rsidRPr="008477B6">
        <w:rPr>
          <w:sz w:val="18"/>
          <w:szCs w:val="18"/>
        </w:rPr>
        <w:t xml:space="preserve">, it is not intended to cover all aspects. </w:t>
      </w:r>
    </w:p>
    <w:p w14:paraId="186657EA" w14:textId="77777777" w:rsidR="00880E84" w:rsidRPr="008477B6" w:rsidRDefault="00880E84" w:rsidP="007528AA">
      <w:pPr>
        <w:pStyle w:val="ICASBoxOutBody"/>
        <w:rPr>
          <w:sz w:val="18"/>
          <w:szCs w:val="18"/>
        </w:rPr>
      </w:pPr>
    </w:p>
    <w:p w14:paraId="29475FB6" w14:textId="77777777" w:rsidR="00880E84" w:rsidRPr="008477B6" w:rsidRDefault="00880E84" w:rsidP="007528AA">
      <w:pPr>
        <w:pStyle w:val="ICASBoxOutBody"/>
        <w:rPr>
          <w:sz w:val="18"/>
          <w:szCs w:val="18"/>
        </w:rPr>
      </w:pPr>
      <w:r w:rsidRPr="008477B6">
        <w:rPr>
          <w:sz w:val="18"/>
          <w:szCs w:val="18"/>
        </w:rPr>
        <w:t>Whilst this information is believed to be reliable, ICAS, its employees and others involved in the production of this information do not provide any representation or warranty (express or implied) of any kind as regards the accuracy or completeness of this information, nor do they accept any responsibility or liability for loss or damage arising in any way from any use made of or reliance placed on this information.</w:t>
      </w:r>
    </w:p>
    <w:p w14:paraId="322F8955" w14:textId="77777777" w:rsidR="00880E84" w:rsidRPr="008477B6" w:rsidRDefault="00880E84" w:rsidP="007528AA">
      <w:pPr>
        <w:pStyle w:val="ICASBoxOutBody"/>
        <w:rPr>
          <w:sz w:val="18"/>
          <w:szCs w:val="18"/>
        </w:rPr>
      </w:pPr>
    </w:p>
    <w:p w14:paraId="305F1126" w14:textId="64B44EE7" w:rsidR="00880E84" w:rsidRPr="008477B6" w:rsidRDefault="00880E84" w:rsidP="007528AA">
      <w:pPr>
        <w:pStyle w:val="ICASBoxOutBody"/>
        <w:rPr>
          <w:sz w:val="18"/>
          <w:szCs w:val="18"/>
        </w:rPr>
      </w:pPr>
      <w:r w:rsidRPr="008477B6">
        <w:rPr>
          <w:sz w:val="18"/>
          <w:szCs w:val="18"/>
        </w:rPr>
        <w:t>All information is believed to be correct at the time of publication.</w:t>
      </w:r>
    </w:p>
    <w:sectPr w:rsidR="00880E84" w:rsidRPr="008477B6" w:rsidSect="005B7194">
      <w:headerReference w:type="default" r:id="rId22"/>
      <w:footerReference w:type="default" r:id="rId23"/>
      <w:pgSz w:w="11910" w:h="16850"/>
      <w:pgMar w:top="1400" w:right="1278" w:bottom="1200" w:left="1300" w:header="680" w:footer="10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90078" w14:textId="77777777" w:rsidR="004F5AC4" w:rsidRDefault="004F5AC4">
      <w:r>
        <w:separator/>
      </w:r>
    </w:p>
  </w:endnote>
  <w:endnote w:type="continuationSeparator" w:id="0">
    <w:p w14:paraId="214DE7BC" w14:textId="77777777" w:rsidR="004F5AC4" w:rsidRDefault="004F5AC4">
      <w:r>
        <w:continuationSeparator/>
      </w:r>
    </w:p>
  </w:endnote>
  <w:endnote w:type="continuationNotice" w:id="1">
    <w:p w14:paraId="0F11C5BD" w14:textId="77777777" w:rsidR="004F5AC4" w:rsidRDefault="004F5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BCA7" w14:textId="6C187C3A" w:rsidR="00033FD4" w:rsidRDefault="00033FD4">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B56F3" w14:textId="77777777" w:rsidR="004F5AC4" w:rsidRDefault="004F5AC4">
      <w:r>
        <w:separator/>
      </w:r>
    </w:p>
  </w:footnote>
  <w:footnote w:type="continuationSeparator" w:id="0">
    <w:p w14:paraId="715BE3B7" w14:textId="77777777" w:rsidR="004F5AC4" w:rsidRDefault="004F5AC4">
      <w:r>
        <w:continuationSeparator/>
      </w:r>
    </w:p>
  </w:footnote>
  <w:footnote w:type="continuationNotice" w:id="1">
    <w:p w14:paraId="298CD116" w14:textId="77777777" w:rsidR="004F5AC4" w:rsidRDefault="004F5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A32" w14:textId="10FE47CF" w:rsidR="00DD2889" w:rsidRDefault="005974D3" w:rsidP="002F2969">
    <w:pPr>
      <w:spacing w:line="14" w:lineRule="auto"/>
      <w:jc w:val="right"/>
    </w:pPr>
    <w:r>
      <w:rPr>
        <w:noProof/>
      </w:rPr>
      <w:drawing>
        <wp:anchor distT="0" distB="0" distL="114300" distR="114300" simplePos="0" relativeHeight="251658240" behindDoc="0" locked="0" layoutInCell="1" allowOverlap="1" wp14:anchorId="7E30FA53" wp14:editId="44DA2277">
          <wp:simplePos x="0" y="0"/>
          <wp:positionH relativeFrom="column">
            <wp:posOffset>5099075</wp:posOffset>
          </wp:positionH>
          <wp:positionV relativeFrom="paragraph">
            <wp:posOffset>-346075</wp:posOffset>
          </wp:positionV>
          <wp:extent cx="695325" cy="720116"/>
          <wp:effectExtent l="0" t="0" r="0" b="0"/>
          <wp:wrapNone/>
          <wp:docPr id="2041681626"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81626" name="Picture 2041681626" descr="Icon&#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449" t="312" r="449" b="312"/>
                  <a:stretch/>
                </pic:blipFill>
                <pic:spPr bwMode="auto">
                  <a:xfrm>
                    <a:off x="0" y="0"/>
                    <a:ext cx="695325" cy="720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76E989" w14:textId="59E067E3" w:rsidR="00033FD4" w:rsidRDefault="00033FD4">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B4E"/>
    <w:multiLevelType w:val="hybridMultilevel"/>
    <w:tmpl w:val="A714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92F55"/>
    <w:multiLevelType w:val="hybridMultilevel"/>
    <w:tmpl w:val="0DCA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D18BF"/>
    <w:multiLevelType w:val="hybridMultilevel"/>
    <w:tmpl w:val="F852E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629AA"/>
    <w:multiLevelType w:val="hybridMultilevel"/>
    <w:tmpl w:val="04080BB4"/>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269AD"/>
    <w:multiLevelType w:val="hybridMultilevel"/>
    <w:tmpl w:val="D3BC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0029B"/>
    <w:multiLevelType w:val="hybridMultilevel"/>
    <w:tmpl w:val="5394E7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EB6B8B"/>
    <w:multiLevelType w:val="hybridMultilevel"/>
    <w:tmpl w:val="170A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E48AB"/>
    <w:multiLevelType w:val="hybridMultilevel"/>
    <w:tmpl w:val="2668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9489B"/>
    <w:multiLevelType w:val="hybridMultilevel"/>
    <w:tmpl w:val="5950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40AD0"/>
    <w:multiLevelType w:val="hybridMultilevel"/>
    <w:tmpl w:val="60BEB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745B42"/>
    <w:multiLevelType w:val="hybridMultilevel"/>
    <w:tmpl w:val="D6BC6446"/>
    <w:lvl w:ilvl="0" w:tplc="EBF80BFE">
      <w:start w:val="1"/>
      <w:numFmt w:val="bullet"/>
      <w:pStyle w:val="Title"/>
      <w:lvlText w:val=""/>
      <w:lvlJc w:val="left"/>
      <w:pPr>
        <w:ind w:left="720" w:hanging="360"/>
      </w:pPr>
      <w:rPr>
        <w:rFonts w:ascii="Symbol" w:hAnsi="Symbol" w:hint="default"/>
        <w:color w:val="4D46D9"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B67C1C"/>
    <w:multiLevelType w:val="hybridMultilevel"/>
    <w:tmpl w:val="26CE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267B7"/>
    <w:multiLevelType w:val="hybridMultilevel"/>
    <w:tmpl w:val="4568F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EA5BC2"/>
    <w:multiLevelType w:val="hybridMultilevel"/>
    <w:tmpl w:val="B08A1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E325F4"/>
    <w:multiLevelType w:val="hybridMultilevel"/>
    <w:tmpl w:val="8A28CBCC"/>
    <w:lvl w:ilvl="0" w:tplc="E0501802">
      <w:numFmt w:val="bullet"/>
      <w:lvlText w:val=""/>
      <w:lvlJc w:val="left"/>
      <w:pPr>
        <w:ind w:left="838" w:hanging="360"/>
      </w:pPr>
      <w:rPr>
        <w:rFonts w:ascii="Symbol" w:eastAsia="Symbol" w:hAnsi="Symbol" w:cs="Symbol" w:hint="default"/>
        <w:w w:val="99"/>
        <w:sz w:val="20"/>
        <w:szCs w:val="20"/>
        <w:lang w:val="en-US" w:eastAsia="en-US" w:bidi="en-US"/>
      </w:rPr>
    </w:lvl>
    <w:lvl w:ilvl="1" w:tplc="6C86EA34">
      <w:numFmt w:val="bullet"/>
      <w:lvlText w:val="•"/>
      <w:lvlJc w:val="left"/>
      <w:pPr>
        <w:ind w:left="1756" w:hanging="360"/>
      </w:pPr>
      <w:rPr>
        <w:rFonts w:hint="default"/>
        <w:lang w:val="en-US" w:eastAsia="en-US" w:bidi="en-US"/>
      </w:rPr>
    </w:lvl>
    <w:lvl w:ilvl="2" w:tplc="8E9EA608">
      <w:numFmt w:val="bullet"/>
      <w:lvlText w:val="•"/>
      <w:lvlJc w:val="left"/>
      <w:pPr>
        <w:ind w:left="2673" w:hanging="360"/>
      </w:pPr>
      <w:rPr>
        <w:rFonts w:hint="default"/>
        <w:lang w:val="en-US" w:eastAsia="en-US" w:bidi="en-US"/>
      </w:rPr>
    </w:lvl>
    <w:lvl w:ilvl="3" w:tplc="F9FAA308">
      <w:numFmt w:val="bullet"/>
      <w:lvlText w:val="•"/>
      <w:lvlJc w:val="left"/>
      <w:pPr>
        <w:ind w:left="3589" w:hanging="360"/>
      </w:pPr>
      <w:rPr>
        <w:rFonts w:hint="default"/>
        <w:lang w:val="en-US" w:eastAsia="en-US" w:bidi="en-US"/>
      </w:rPr>
    </w:lvl>
    <w:lvl w:ilvl="4" w:tplc="E154172A">
      <w:numFmt w:val="bullet"/>
      <w:lvlText w:val="•"/>
      <w:lvlJc w:val="left"/>
      <w:pPr>
        <w:ind w:left="4506" w:hanging="360"/>
      </w:pPr>
      <w:rPr>
        <w:rFonts w:hint="default"/>
        <w:lang w:val="en-US" w:eastAsia="en-US" w:bidi="en-US"/>
      </w:rPr>
    </w:lvl>
    <w:lvl w:ilvl="5" w:tplc="F9A6D7D6">
      <w:numFmt w:val="bullet"/>
      <w:lvlText w:val="•"/>
      <w:lvlJc w:val="left"/>
      <w:pPr>
        <w:ind w:left="5423" w:hanging="360"/>
      </w:pPr>
      <w:rPr>
        <w:rFonts w:hint="default"/>
        <w:lang w:val="en-US" w:eastAsia="en-US" w:bidi="en-US"/>
      </w:rPr>
    </w:lvl>
    <w:lvl w:ilvl="6" w:tplc="E06C3882">
      <w:numFmt w:val="bullet"/>
      <w:lvlText w:val="•"/>
      <w:lvlJc w:val="left"/>
      <w:pPr>
        <w:ind w:left="6339" w:hanging="360"/>
      </w:pPr>
      <w:rPr>
        <w:rFonts w:hint="default"/>
        <w:lang w:val="en-US" w:eastAsia="en-US" w:bidi="en-US"/>
      </w:rPr>
    </w:lvl>
    <w:lvl w:ilvl="7" w:tplc="25FCAB82">
      <w:numFmt w:val="bullet"/>
      <w:lvlText w:val="•"/>
      <w:lvlJc w:val="left"/>
      <w:pPr>
        <w:ind w:left="7256" w:hanging="360"/>
      </w:pPr>
      <w:rPr>
        <w:rFonts w:hint="default"/>
        <w:lang w:val="en-US" w:eastAsia="en-US" w:bidi="en-US"/>
      </w:rPr>
    </w:lvl>
    <w:lvl w:ilvl="8" w:tplc="2C9CDB8E">
      <w:numFmt w:val="bullet"/>
      <w:lvlText w:val="•"/>
      <w:lvlJc w:val="left"/>
      <w:pPr>
        <w:ind w:left="8173" w:hanging="360"/>
      </w:pPr>
      <w:rPr>
        <w:rFonts w:hint="default"/>
        <w:lang w:val="en-US" w:eastAsia="en-US" w:bidi="en-US"/>
      </w:rPr>
    </w:lvl>
  </w:abstractNum>
  <w:num w:numId="1" w16cid:durableId="69812735">
    <w:abstractNumId w:val="14"/>
  </w:num>
  <w:num w:numId="2" w16cid:durableId="550575268">
    <w:abstractNumId w:val="7"/>
  </w:num>
  <w:num w:numId="3" w16cid:durableId="717045427">
    <w:abstractNumId w:val="4"/>
  </w:num>
  <w:num w:numId="4" w16cid:durableId="1585723784">
    <w:abstractNumId w:val="11"/>
  </w:num>
  <w:num w:numId="5" w16cid:durableId="82067021">
    <w:abstractNumId w:val="9"/>
  </w:num>
  <w:num w:numId="6" w16cid:durableId="165945575">
    <w:abstractNumId w:val="12"/>
  </w:num>
  <w:num w:numId="7" w16cid:durableId="1847281852">
    <w:abstractNumId w:val="3"/>
  </w:num>
  <w:num w:numId="8" w16cid:durableId="508907750">
    <w:abstractNumId w:val="10"/>
  </w:num>
  <w:num w:numId="9" w16cid:durableId="1649897246">
    <w:abstractNumId w:val="10"/>
  </w:num>
  <w:num w:numId="10" w16cid:durableId="736905949">
    <w:abstractNumId w:val="3"/>
  </w:num>
  <w:num w:numId="11" w16cid:durableId="589773708">
    <w:abstractNumId w:val="10"/>
  </w:num>
  <w:num w:numId="12" w16cid:durableId="613291336">
    <w:abstractNumId w:val="3"/>
  </w:num>
  <w:num w:numId="13" w16cid:durableId="1303536545">
    <w:abstractNumId w:val="10"/>
  </w:num>
  <w:num w:numId="14" w16cid:durableId="1727144951">
    <w:abstractNumId w:val="3"/>
  </w:num>
  <w:num w:numId="15" w16cid:durableId="1195383814">
    <w:abstractNumId w:val="10"/>
  </w:num>
  <w:num w:numId="16" w16cid:durableId="944729267">
    <w:abstractNumId w:val="3"/>
  </w:num>
  <w:num w:numId="17" w16cid:durableId="955020128">
    <w:abstractNumId w:val="10"/>
  </w:num>
  <w:num w:numId="18" w16cid:durableId="2096628265">
    <w:abstractNumId w:val="3"/>
  </w:num>
  <w:num w:numId="19" w16cid:durableId="1818573284">
    <w:abstractNumId w:val="10"/>
  </w:num>
  <w:num w:numId="20" w16cid:durableId="655300346">
    <w:abstractNumId w:val="3"/>
  </w:num>
  <w:num w:numId="21" w16cid:durableId="1663578135">
    <w:abstractNumId w:val="2"/>
  </w:num>
  <w:num w:numId="22" w16cid:durableId="1439636351">
    <w:abstractNumId w:val="13"/>
  </w:num>
  <w:num w:numId="23" w16cid:durableId="1665553000">
    <w:abstractNumId w:val="8"/>
  </w:num>
  <w:num w:numId="24" w16cid:durableId="768504016">
    <w:abstractNumId w:val="6"/>
  </w:num>
  <w:num w:numId="25" w16cid:durableId="1038166826">
    <w:abstractNumId w:val="5"/>
  </w:num>
  <w:num w:numId="26" w16cid:durableId="977883007">
    <w:abstractNumId w:val="1"/>
  </w:num>
  <w:num w:numId="27" w16cid:durableId="164596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82"/>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033FD4"/>
    <w:rsid w:val="00005787"/>
    <w:rsid w:val="00010B71"/>
    <w:rsid w:val="00033FD4"/>
    <w:rsid w:val="000550BE"/>
    <w:rsid w:val="000754B7"/>
    <w:rsid w:val="0008626B"/>
    <w:rsid w:val="000D4804"/>
    <w:rsid w:val="000D4942"/>
    <w:rsid w:val="000D5025"/>
    <w:rsid w:val="000E531D"/>
    <w:rsid w:val="0012207B"/>
    <w:rsid w:val="00144954"/>
    <w:rsid w:val="001848A4"/>
    <w:rsid w:val="001876A2"/>
    <w:rsid w:val="001A27C2"/>
    <w:rsid w:val="001C3193"/>
    <w:rsid w:val="001D6B1D"/>
    <w:rsid w:val="00200907"/>
    <w:rsid w:val="00201995"/>
    <w:rsid w:val="00257EB9"/>
    <w:rsid w:val="0026175F"/>
    <w:rsid w:val="00264261"/>
    <w:rsid w:val="00266934"/>
    <w:rsid w:val="0029639D"/>
    <w:rsid w:val="002A30D1"/>
    <w:rsid w:val="002A4EC1"/>
    <w:rsid w:val="002B14E5"/>
    <w:rsid w:val="002C4068"/>
    <w:rsid w:val="002E24DF"/>
    <w:rsid w:val="002E2D9B"/>
    <w:rsid w:val="002F2969"/>
    <w:rsid w:val="00315D0A"/>
    <w:rsid w:val="003503A3"/>
    <w:rsid w:val="00354F94"/>
    <w:rsid w:val="003B0D60"/>
    <w:rsid w:val="003C2DAF"/>
    <w:rsid w:val="003F692B"/>
    <w:rsid w:val="0040042F"/>
    <w:rsid w:val="004023AB"/>
    <w:rsid w:val="00403C70"/>
    <w:rsid w:val="004253F7"/>
    <w:rsid w:val="00497684"/>
    <w:rsid w:val="004A0A4C"/>
    <w:rsid w:val="004A4B24"/>
    <w:rsid w:val="004B2378"/>
    <w:rsid w:val="004B3FA6"/>
    <w:rsid w:val="004D61BB"/>
    <w:rsid w:val="004E5E63"/>
    <w:rsid w:val="004F19D2"/>
    <w:rsid w:val="004F5AC4"/>
    <w:rsid w:val="00527ACC"/>
    <w:rsid w:val="005649F1"/>
    <w:rsid w:val="005974D3"/>
    <w:rsid w:val="005B7194"/>
    <w:rsid w:val="005C57B8"/>
    <w:rsid w:val="005C5DC8"/>
    <w:rsid w:val="005C7C70"/>
    <w:rsid w:val="005F0FBD"/>
    <w:rsid w:val="00650FAB"/>
    <w:rsid w:val="00655812"/>
    <w:rsid w:val="006805F2"/>
    <w:rsid w:val="00682254"/>
    <w:rsid w:val="006975EF"/>
    <w:rsid w:val="006B526F"/>
    <w:rsid w:val="006B6F17"/>
    <w:rsid w:val="006C31CC"/>
    <w:rsid w:val="00701930"/>
    <w:rsid w:val="007030EE"/>
    <w:rsid w:val="007135AE"/>
    <w:rsid w:val="00720BDB"/>
    <w:rsid w:val="00741BFA"/>
    <w:rsid w:val="007528AA"/>
    <w:rsid w:val="00757167"/>
    <w:rsid w:val="007608E7"/>
    <w:rsid w:val="007A2393"/>
    <w:rsid w:val="007C134E"/>
    <w:rsid w:val="007D4DB7"/>
    <w:rsid w:val="007F5847"/>
    <w:rsid w:val="00826A67"/>
    <w:rsid w:val="00827969"/>
    <w:rsid w:val="008477B6"/>
    <w:rsid w:val="008477CB"/>
    <w:rsid w:val="008668A6"/>
    <w:rsid w:val="00875B84"/>
    <w:rsid w:val="00880E84"/>
    <w:rsid w:val="008816DD"/>
    <w:rsid w:val="00884E79"/>
    <w:rsid w:val="00893A74"/>
    <w:rsid w:val="008A1834"/>
    <w:rsid w:val="008A3355"/>
    <w:rsid w:val="008B6590"/>
    <w:rsid w:val="008C07FE"/>
    <w:rsid w:val="008D247B"/>
    <w:rsid w:val="008D7706"/>
    <w:rsid w:val="008E3A39"/>
    <w:rsid w:val="008F1AF9"/>
    <w:rsid w:val="00905897"/>
    <w:rsid w:val="009058C2"/>
    <w:rsid w:val="009401B9"/>
    <w:rsid w:val="00972B33"/>
    <w:rsid w:val="00992253"/>
    <w:rsid w:val="009F2E5C"/>
    <w:rsid w:val="00A35E38"/>
    <w:rsid w:val="00A42F9D"/>
    <w:rsid w:val="00A62EC4"/>
    <w:rsid w:val="00A6441D"/>
    <w:rsid w:val="00A77E19"/>
    <w:rsid w:val="00AA50DB"/>
    <w:rsid w:val="00AC1649"/>
    <w:rsid w:val="00AD553B"/>
    <w:rsid w:val="00AD7CB8"/>
    <w:rsid w:val="00AE69BE"/>
    <w:rsid w:val="00AF4E32"/>
    <w:rsid w:val="00B07B21"/>
    <w:rsid w:val="00B3154B"/>
    <w:rsid w:val="00B41B69"/>
    <w:rsid w:val="00B56370"/>
    <w:rsid w:val="00B65DC2"/>
    <w:rsid w:val="00B87FC8"/>
    <w:rsid w:val="00BA3678"/>
    <w:rsid w:val="00C0120A"/>
    <w:rsid w:val="00C11C24"/>
    <w:rsid w:val="00C2034B"/>
    <w:rsid w:val="00C4597E"/>
    <w:rsid w:val="00C46860"/>
    <w:rsid w:val="00C64090"/>
    <w:rsid w:val="00C72BDE"/>
    <w:rsid w:val="00C7339B"/>
    <w:rsid w:val="00C75E26"/>
    <w:rsid w:val="00C92259"/>
    <w:rsid w:val="00CE4341"/>
    <w:rsid w:val="00CE6F13"/>
    <w:rsid w:val="00D077C1"/>
    <w:rsid w:val="00D101BA"/>
    <w:rsid w:val="00D16A92"/>
    <w:rsid w:val="00D35792"/>
    <w:rsid w:val="00D550D6"/>
    <w:rsid w:val="00D60D2D"/>
    <w:rsid w:val="00D77611"/>
    <w:rsid w:val="00D82195"/>
    <w:rsid w:val="00DA016D"/>
    <w:rsid w:val="00DA171C"/>
    <w:rsid w:val="00DA6BB9"/>
    <w:rsid w:val="00DC0B7C"/>
    <w:rsid w:val="00DC605C"/>
    <w:rsid w:val="00DD2574"/>
    <w:rsid w:val="00DD2889"/>
    <w:rsid w:val="00DD3D54"/>
    <w:rsid w:val="00DD3F90"/>
    <w:rsid w:val="00E27747"/>
    <w:rsid w:val="00E45B8C"/>
    <w:rsid w:val="00E54F96"/>
    <w:rsid w:val="00E6739F"/>
    <w:rsid w:val="00E77272"/>
    <w:rsid w:val="00E86477"/>
    <w:rsid w:val="00EC52DE"/>
    <w:rsid w:val="00ED7F26"/>
    <w:rsid w:val="00EF2278"/>
    <w:rsid w:val="00EF521F"/>
    <w:rsid w:val="00EF7854"/>
    <w:rsid w:val="00F01A33"/>
    <w:rsid w:val="00F0788B"/>
    <w:rsid w:val="00F10A6C"/>
    <w:rsid w:val="00F2058E"/>
    <w:rsid w:val="00F25663"/>
    <w:rsid w:val="00F30B2D"/>
    <w:rsid w:val="00F311F8"/>
    <w:rsid w:val="00F32D5D"/>
    <w:rsid w:val="00F363E1"/>
    <w:rsid w:val="00F531D0"/>
    <w:rsid w:val="00F54412"/>
    <w:rsid w:val="00F67FA8"/>
    <w:rsid w:val="00FE0CFB"/>
    <w:rsid w:val="2A0D2C4D"/>
    <w:rsid w:val="34FD072D"/>
    <w:rsid w:val="68DB2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rules v:ext="edit">
        <o:r id="V:Rule1" type="connector" idref="#Straight Arrow Connector 193"/>
        <o:r id="V:Rule2" type="connector" idref="#Straight Arrow Connector 31"/>
        <o:r id="V:Rule3" type="connector" idref="#Straight Arrow Connector 17"/>
        <o:r id="V:Rule4" type="connector" idref="#Straight Arrow Connector 9"/>
        <o:r id="V:Rule5" type="connector" idref="#Straight Arrow Connector 8"/>
        <o:r id="V:Rule6" type="connector" idref="#Straight Arrow Connector 4"/>
        <o:r id="V:Rule7" type="connector" idref="#Straight Arrow Connector 3"/>
        <o:r id="V:Rule8" type="connector" idref="#Straight Arrow Connector 10"/>
        <o:r id="V:Rule9" type="connector" idref="#Straight Arrow Connector 7"/>
        <o:r id="V:Rule10" type="connector" idref="#Straight Arrow Connector 18"/>
      </o:rules>
    </o:shapelayout>
  </w:shapeDefaults>
  <w:decimalSymbol w:val="."/>
  <w:listSeparator w:val=","/>
  <w14:docId w14:val="3000B15B"/>
  <w15:docId w15:val="{B877CCF4-93F5-41F3-B39D-212CCC6D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5F"/>
  </w:style>
  <w:style w:type="paragraph" w:styleId="Heading1">
    <w:name w:val="heading 1"/>
    <w:aliases w:val="ICAS | Heading"/>
    <w:basedOn w:val="Normal"/>
    <w:next w:val="Normal"/>
    <w:link w:val="Heading1Char"/>
    <w:uiPriority w:val="9"/>
    <w:qFormat/>
    <w:rsid w:val="00D35792"/>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D35792"/>
    <w:pPr>
      <w:spacing w:after="100"/>
      <w:outlineLvl w:val="1"/>
    </w:pPr>
    <w:rPr>
      <w:rFonts w:ascii="Arial" w:hAnsi="Arial" w:cs="Arial"/>
      <w:b/>
      <w:bCs/>
      <w:color w:val="000000"/>
      <w:sz w:val="28"/>
      <w:szCs w:val="28"/>
    </w:rPr>
  </w:style>
  <w:style w:type="paragraph" w:styleId="Heading3">
    <w:name w:val="heading 3"/>
    <w:basedOn w:val="Normal"/>
    <w:next w:val="Normal"/>
    <w:link w:val="Heading3Char"/>
    <w:uiPriority w:val="9"/>
    <w:unhideWhenUsed/>
    <w:qFormat/>
    <w:rsid w:val="00E6739F"/>
    <w:pPr>
      <w:keepNext/>
      <w:keepLines/>
      <w:spacing w:before="40" w:after="120"/>
      <w:outlineLvl w:val="2"/>
    </w:pPr>
    <w:rPr>
      <w:rFonts w:asciiTheme="majorHAnsi" w:eastAsiaTheme="majorEastAsia" w:hAnsiTheme="majorHAnsi" w:cstheme="majorBidi"/>
      <w:color w:val="4D46D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28AA"/>
    <w:pPr>
      <w:tabs>
        <w:tab w:val="center" w:pos="4513"/>
        <w:tab w:val="right" w:pos="9026"/>
      </w:tabs>
    </w:pPr>
  </w:style>
  <w:style w:type="character" w:customStyle="1" w:styleId="FooterChar">
    <w:name w:val="Footer Char"/>
    <w:basedOn w:val="DefaultParagraphFont"/>
    <w:link w:val="Footer"/>
    <w:uiPriority w:val="99"/>
    <w:rsid w:val="007528AA"/>
    <w:rPr>
      <w:sz w:val="24"/>
      <w:szCs w:val="24"/>
      <w:lang w:val="en-GB" w:eastAsia="en-GB"/>
    </w:rPr>
  </w:style>
  <w:style w:type="paragraph" w:styleId="Header">
    <w:name w:val="header"/>
    <w:aliases w:val="ICAS | Table Heading"/>
    <w:basedOn w:val="Normal"/>
    <w:link w:val="HeaderChar"/>
    <w:uiPriority w:val="99"/>
    <w:unhideWhenUsed/>
    <w:rsid w:val="007528AA"/>
    <w:rPr>
      <w:rFonts w:ascii="Arial" w:hAnsi="Arial" w:cs="Arial"/>
      <w:b/>
      <w:bCs/>
      <w:color w:val="FFFFFF" w:themeColor="background1"/>
      <w:sz w:val="20"/>
      <w:szCs w:val="20"/>
    </w:rPr>
  </w:style>
  <w:style w:type="character" w:customStyle="1" w:styleId="HeaderChar">
    <w:name w:val="Header Char"/>
    <w:aliases w:val="ICAS | Table Heading Char"/>
    <w:basedOn w:val="DefaultParagraphFont"/>
    <w:link w:val="Header"/>
    <w:uiPriority w:val="99"/>
    <w:rsid w:val="007528AA"/>
    <w:rPr>
      <w:rFonts w:ascii="Arial" w:hAnsi="Arial" w:cs="Arial"/>
      <w:b/>
      <w:bCs/>
      <w:color w:val="FFFFFF" w:themeColor="background1"/>
      <w:sz w:val="20"/>
      <w:szCs w:val="20"/>
      <w:lang w:val="en-GB" w:eastAsia="en-GB"/>
    </w:rPr>
  </w:style>
  <w:style w:type="character" w:customStyle="1" w:styleId="Heading1Char">
    <w:name w:val="Heading 1 Char"/>
    <w:aliases w:val="ICAS | Heading Char"/>
    <w:basedOn w:val="DefaultParagraphFont"/>
    <w:link w:val="Heading1"/>
    <w:uiPriority w:val="9"/>
    <w:rsid w:val="00D35792"/>
    <w:rPr>
      <w:rFonts w:ascii="Arial" w:hAnsi="Arial" w:cs="Arial"/>
      <w:color w:val="4D46D9" w:themeColor="text2"/>
      <w:sz w:val="40"/>
      <w:szCs w:val="40"/>
    </w:rPr>
  </w:style>
  <w:style w:type="character" w:customStyle="1" w:styleId="Heading2Char">
    <w:name w:val="Heading 2 Char"/>
    <w:aliases w:val="ICAS | Subhead 2 Char"/>
    <w:basedOn w:val="DefaultParagraphFont"/>
    <w:link w:val="Heading2"/>
    <w:uiPriority w:val="9"/>
    <w:rsid w:val="00D35792"/>
    <w:rPr>
      <w:rFonts w:ascii="Arial" w:hAnsi="Arial" w:cs="Arial"/>
      <w:b/>
      <w:bCs/>
      <w:color w:val="000000"/>
      <w:sz w:val="28"/>
      <w:szCs w:val="28"/>
    </w:rPr>
  </w:style>
  <w:style w:type="character" w:customStyle="1" w:styleId="Heading3Char">
    <w:name w:val="Heading 3 Char"/>
    <w:basedOn w:val="DefaultParagraphFont"/>
    <w:link w:val="Heading3"/>
    <w:uiPriority w:val="9"/>
    <w:rsid w:val="00E6739F"/>
    <w:rPr>
      <w:rFonts w:asciiTheme="majorHAnsi" w:eastAsiaTheme="majorEastAsia" w:hAnsiTheme="majorHAnsi" w:cstheme="majorBidi"/>
      <w:color w:val="4D46D9" w:themeColor="text2"/>
    </w:rPr>
  </w:style>
  <w:style w:type="character" w:styleId="Hyperlink">
    <w:name w:val="Hyperlink"/>
    <w:basedOn w:val="DefaultParagraphFont"/>
    <w:uiPriority w:val="99"/>
    <w:unhideWhenUsed/>
    <w:rsid w:val="007528AA"/>
    <w:rPr>
      <w:color w:val="000000"/>
      <w:u w:val="single"/>
    </w:rPr>
  </w:style>
  <w:style w:type="paragraph" w:styleId="NoSpacing">
    <w:name w:val="No Spacing"/>
    <w:aliases w:val="ICAS | Body Copy"/>
    <w:basedOn w:val="Normal"/>
    <w:link w:val="NoSpacingChar"/>
    <w:uiPriority w:val="1"/>
    <w:qFormat/>
    <w:rsid w:val="00D35792"/>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D35792"/>
    <w:rPr>
      <w:rFonts w:ascii="Arial" w:hAnsi="Arial" w:cs="Arial"/>
      <w:color w:val="000000"/>
      <w:sz w:val="20"/>
      <w:szCs w:val="20"/>
    </w:rPr>
  </w:style>
  <w:style w:type="paragraph" w:customStyle="1" w:styleId="ICASBody">
    <w:name w:val="ICAS | Body"/>
    <w:basedOn w:val="NoSpacing"/>
    <w:qFormat/>
    <w:rsid w:val="00D35792"/>
    <w:pPr>
      <w:spacing w:after="240"/>
    </w:pPr>
  </w:style>
  <w:style w:type="paragraph" w:customStyle="1" w:styleId="ICASBoxOutBody">
    <w:name w:val="ICAS | Box Out Body"/>
    <w:basedOn w:val="Normal"/>
    <w:qFormat/>
    <w:rsid w:val="00D35792"/>
    <w:rPr>
      <w:color w:val="2B3841" w:themeColor="text1"/>
      <w:sz w:val="20"/>
      <w:szCs w:val="20"/>
    </w:rPr>
  </w:style>
  <w:style w:type="paragraph" w:customStyle="1" w:styleId="ICASBoxOutHeading">
    <w:name w:val="ICAS | Box Out Heading"/>
    <w:basedOn w:val="Normal"/>
    <w:qFormat/>
    <w:rsid w:val="00D35792"/>
    <w:rPr>
      <w:b/>
      <w:bCs/>
      <w:color w:val="2B3841" w:themeColor="text1"/>
      <w:sz w:val="20"/>
      <w:szCs w:val="20"/>
    </w:rPr>
  </w:style>
  <w:style w:type="paragraph" w:customStyle="1" w:styleId="ICASBulletssecondlevel">
    <w:name w:val="ICAS | Bullets – second level"/>
    <w:basedOn w:val="Normal"/>
    <w:qFormat/>
    <w:rsid w:val="00D35792"/>
    <w:pPr>
      <w:numPr>
        <w:numId w:val="20"/>
      </w:numPr>
      <w:spacing w:after="86" w:line="276" w:lineRule="auto"/>
      <w:contextualSpacing/>
    </w:pPr>
    <w:rPr>
      <w:rFonts w:ascii="Arial" w:hAnsi="Arial" w:cs="Arial"/>
      <w:color w:val="000000"/>
      <w:sz w:val="20"/>
      <w:szCs w:val="20"/>
    </w:rPr>
  </w:style>
  <w:style w:type="paragraph" w:customStyle="1" w:styleId="ICASCoverHeadingWhite">
    <w:name w:val="ICAS | Cover Heading – White"/>
    <w:basedOn w:val="Normal"/>
    <w:qFormat/>
    <w:rsid w:val="00D35792"/>
    <w:pPr>
      <w:snapToGrid w:val="0"/>
    </w:pPr>
    <w:rPr>
      <w:rFonts w:ascii="Arial" w:hAnsi="Arial" w:cs="Arial"/>
      <w:b/>
      <w:bCs/>
      <w:color w:val="FFFFFF" w:themeColor="background1"/>
      <w:sz w:val="124"/>
      <w:szCs w:val="124"/>
    </w:rPr>
  </w:style>
  <w:style w:type="paragraph" w:customStyle="1" w:styleId="ICASDateBlack">
    <w:name w:val="ICAS | Date – Black"/>
    <w:basedOn w:val="Normal"/>
    <w:qFormat/>
    <w:rsid w:val="00D35792"/>
    <w:pPr>
      <w:spacing w:line="276" w:lineRule="auto"/>
    </w:pPr>
    <w:rPr>
      <w:sz w:val="28"/>
      <w:szCs w:val="28"/>
    </w:rPr>
  </w:style>
  <w:style w:type="paragraph" w:customStyle="1" w:styleId="ICASDateWhite">
    <w:name w:val="ICAS | Date – White"/>
    <w:basedOn w:val="Normal"/>
    <w:qFormat/>
    <w:rsid w:val="00D35792"/>
    <w:pPr>
      <w:spacing w:line="276" w:lineRule="auto"/>
    </w:pPr>
    <w:rPr>
      <w:color w:val="FFFFFF" w:themeColor="background1"/>
      <w:sz w:val="28"/>
      <w:szCs w:val="28"/>
    </w:rPr>
  </w:style>
  <w:style w:type="paragraph" w:customStyle="1" w:styleId="ICASQuote">
    <w:name w:val="ICAS | Quote"/>
    <w:basedOn w:val="Normal"/>
    <w:qFormat/>
    <w:rsid w:val="00D35792"/>
    <w:pPr>
      <w:spacing w:before="128" w:after="255" w:line="276" w:lineRule="auto"/>
      <w:ind w:left="128"/>
    </w:pPr>
    <w:rPr>
      <w:rFonts w:ascii="Arial" w:hAnsi="Arial" w:cs="Arial"/>
      <w:i/>
      <w:iCs/>
      <w:color w:val="2B3841" w:themeColor="text1"/>
      <w:sz w:val="20"/>
      <w:szCs w:val="20"/>
    </w:rPr>
  </w:style>
  <w:style w:type="paragraph" w:customStyle="1" w:styleId="ICASTableContent">
    <w:name w:val="ICAS | Table Content"/>
    <w:basedOn w:val="Normal"/>
    <w:qFormat/>
    <w:rsid w:val="00D35792"/>
    <w:rPr>
      <w:rFonts w:ascii="Arial" w:hAnsi="Arial" w:cs="Arial"/>
      <w:sz w:val="20"/>
      <w:szCs w:val="20"/>
    </w:rPr>
  </w:style>
  <w:style w:type="table" w:customStyle="1" w:styleId="ICASTableHeading">
    <w:name w:val="ICAS | Table Heading"/>
    <w:basedOn w:val="TableNormal"/>
    <w:uiPriority w:val="99"/>
    <w:rsid w:val="007528AA"/>
    <w:tblPr/>
  </w:style>
  <w:style w:type="paragraph" w:customStyle="1" w:styleId="ICASCoverHeadingBlack">
    <w:name w:val="ICAS | Cover Heading – Black"/>
    <w:basedOn w:val="Normal"/>
    <w:qFormat/>
    <w:rsid w:val="00D35792"/>
    <w:pPr>
      <w:snapToGrid w:val="0"/>
    </w:pPr>
    <w:rPr>
      <w:rFonts w:ascii="Arial" w:hAnsi="Arial" w:cs="Arial"/>
      <w:b/>
      <w:bCs/>
      <w:sz w:val="124"/>
      <w:szCs w:val="124"/>
    </w:rPr>
  </w:style>
  <w:style w:type="paragraph" w:customStyle="1" w:styleId="ICASPageNumber">
    <w:name w:val="ICAS | Page Number"/>
    <w:basedOn w:val="Footer"/>
    <w:qFormat/>
    <w:rsid w:val="00D35792"/>
    <w:pPr>
      <w:framePr w:wrap="none" w:vAnchor="text" w:hAnchor="margin" w:xAlign="right" w:y="1"/>
    </w:pPr>
    <w:rPr>
      <w:color w:val="000000"/>
      <w:sz w:val="20"/>
      <w:szCs w:val="20"/>
    </w:rPr>
  </w:style>
  <w:style w:type="paragraph" w:customStyle="1" w:styleId="ICASSubhead1">
    <w:name w:val="ICAS | Subhead 1"/>
    <w:basedOn w:val="Heading2"/>
    <w:qFormat/>
    <w:rsid w:val="00D35792"/>
    <w:pPr>
      <w:spacing w:after="280"/>
    </w:pPr>
  </w:style>
  <w:style w:type="character" w:styleId="PageNumber">
    <w:name w:val="page number"/>
    <w:basedOn w:val="DefaultParagraphFont"/>
    <w:uiPriority w:val="99"/>
    <w:semiHidden/>
    <w:unhideWhenUsed/>
    <w:rsid w:val="007528AA"/>
  </w:style>
  <w:style w:type="table" w:styleId="TableGrid">
    <w:name w:val="Table Grid"/>
    <w:basedOn w:val="TableNormal"/>
    <w:rsid w:val="00752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ICAS | Bullets – first level"/>
    <w:basedOn w:val="Normal"/>
    <w:next w:val="Normal"/>
    <w:link w:val="TitleChar"/>
    <w:uiPriority w:val="10"/>
    <w:qFormat/>
    <w:rsid w:val="00D35792"/>
    <w:pPr>
      <w:numPr>
        <w:numId w:val="19"/>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D35792"/>
    <w:rPr>
      <w:rFonts w:ascii="Arial" w:hAnsi="Arial" w:cs="Arial"/>
      <w:sz w:val="20"/>
      <w:szCs w:val="20"/>
    </w:rPr>
  </w:style>
  <w:style w:type="character" w:styleId="UnresolvedMention">
    <w:name w:val="Unresolved Mention"/>
    <w:basedOn w:val="DefaultParagraphFont"/>
    <w:uiPriority w:val="99"/>
    <w:semiHidden/>
    <w:unhideWhenUsed/>
    <w:rsid w:val="007528AA"/>
    <w:rPr>
      <w:color w:val="605E5C"/>
      <w:shd w:val="clear" w:color="auto" w:fill="E1DFDD"/>
    </w:rPr>
  </w:style>
  <w:style w:type="paragraph" w:styleId="Subtitle">
    <w:name w:val="Subtitle"/>
    <w:basedOn w:val="Normal"/>
    <w:next w:val="Normal"/>
    <w:link w:val="SubtitleChar"/>
    <w:uiPriority w:val="11"/>
    <w:qFormat/>
    <w:rsid w:val="00701930"/>
    <w:pPr>
      <w:numPr>
        <w:ilvl w:val="1"/>
      </w:numPr>
      <w:spacing w:after="160"/>
    </w:pPr>
    <w:rPr>
      <w:rFonts w:eastAsiaTheme="minorEastAsia"/>
      <w:color w:val="638196" w:themeColor="text1" w:themeTint="A5"/>
      <w:spacing w:val="15"/>
      <w:sz w:val="22"/>
      <w:szCs w:val="22"/>
    </w:rPr>
  </w:style>
  <w:style w:type="character" w:customStyle="1" w:styleId="SubtitleChar">
    <w:name w:val="Subtitle Char"/>
    <w:basedOn w:val="DefaultParagraphFont"/>
    <w:link w:val="Subtitle"/>
    <w:uiPriority w:val="11"/>
    <w:rsid w:val="00701930"/>
    <w:rPr>
      <w:rFonts w:eastAsiaTheme="minorEastAsia"/>
      <w:color w:val="638196" w:themeColor="text1" w:themeTint="A5"/>
      <w:spacing w:val="15"/>
      <w:sz w:val="22"/>
      <w:szCs w:val="22"/>
    </w:rPr>
  </w:style>
  <w:style w:type="paragraph" w:styleId="ListParagraph">
    <w:name w:val="List Paragraph"/>
    <w:basedOn w:val="Normal"/>
    <w:uiPriority w:val="34"/>
    <w:qFormat/>
    <w:rsid w:val="004F19D2"/>
    <w:pPr>
      <w:ind w:left="720"/>
      <w:contextualSpacing/>
    </w:pPr>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4A4B24"/>
    <w:rPr>
      <w:color w:val="2B38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571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cas.com/professional-resources/ethics/icas-code-of-ethics" TargetMode="External"/><Relationship Id="rId18" Type="http://schemas.openxmlformats.org/officeDocument/2006/relationships/hyperlink" Target="https://www.icas.com/__data/assets/pdf_file/0007/543256/Clients-Money-Regulations-03-01-2024-rebranded.pdf" TargetMode="External"/><Relationship Id="rId3" Type="http://schemas.openxmlformats.org/officeDocument/2006/relationships/customXml" Target="../customXml/item3.xml"/><Relationship Id="rId21" Type="http://schemas.openxmlformats.org/officeDocument/2006/relationships/hyperlink" Target="https://www.icas.com/contact-us/icas-technical-helpdesk" TargetMode="External"/><Relationship Id="rId7" Type="http://schemas.openxmlformats.org/officeDocument/2006/relationships/webSettings" Target="webSettings.xml"/><Relationship Id="rId12" Type="http://schemas.openxmlformats.org/officeDocument/2006/relationships/hyperlink" Target="https://www.ccab.org.uk/anti-money-laundering-and-counter-terrorist-financing-guidance-for-the-accountancy-sector-2023/" TargetMode="External"/><Relationship Id="rId17" Type="http://schemas.openxmlformats.org/officeDocument/2006/relationships/hyperlink" Target="https://www.icas.com/professional-resources/practice/knowledge-centre/general-practice-manual/c/Insolvency-Funds-Compliance-Review.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cas.com/professional-resources/practice/knowledge-centre/general-practice-manual/CMR-Annual-compliance-review.docx" TargetMode="External"/><Relationship Id="rId20" Type="http://schemas.openxmlformats.org/officeDocument/2006/relationships/hyperlink" Target="https://www.icas.com/professional-resources/ethics/icas-code-of-eth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as.com/professional-resources/practice/knowledge-centre/general-practice-manual/a/AML-Helpsheet-v1.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cas.com/professional-resources/practice/knowledge-centre/general-practice-manual/CMR-Specimen-letter-to-bank-regarding-client-account.docx" TargetMode="External"/><Relationship Id="rId23" Type="http://schemas.openxmlformats.org/officeDocument/2006/relationships/footer" Target="footer1.xml"/><Relationship Id="rId10" Type="http://schemas.openxmlformats.org/officeDocument/2006/relationships/hyperlink" Target="https://www.icas.com/__data/assets/pdf_file/0007/543256/Clients-Money-Regulations-03-01-2024-rebranded.pdf" TargetMode="External"/><Relationship Id="rId19" Type="http://schemas.openxmlformats.org/officeDocument/2006/relationships/hyperlink" Target="https://www.ccab.org.uk/anti-money-laundering-and-counter-terrorist-financing-guidance-for-the-accountancy-sector-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as.com/professional-resources/practice/knowledge-centre/general-practice-manual/CMR-Annual-compliance-review.doc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CAS">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Kenneth Oliver</DisplayName>
        <AccountId>51</AccountId>
        <AccountType/>
      </UserInfo>
      <UserInfo>
        <DisplayName>Kate Neilson</DisplayName>
        <AccountId>45</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53BDE-3A59-4CFD-8DF1-5A400FC344CC}">
  <ds:schemaRefs>
    <ds:schemaRef ds:uri="http://schemas.microsoft.com/sharepoint/v3/contenttype/forms"/>
  </ds:schemaRefs>
</ds:datastoreItem>
</file>

<file path=customXml/itemProps2.xml><?xml version="1.0" encoding="utf-8"?>
<ds:datastoreItem xmlns:ds="http://schemas.openxmlformats.org/officeDocument/2006/customXml" ds:itemID="{09C9AA8D-D5B8-403F-AE54-FB405F1E3150}">
  <ds:schemaRefs>
    <ds:schemaRef ds:uri="http://schemas.microsoft.com/office/2006/metadata/properties"/>
    <ds:schemaRef ds:uri="http://schemas.microsoft.com/office/infopath/2007/PartnerControls"/>
    <ds:schemaRef ds:uri="52d05684-39aa-4c0d-8cff-5e0cc80d847a"/>
    <ds:schemaRef ds:uri="607b35c9-358c-4a12-8b61-a6ae96df6ef5"/>
  </ds:schemaRefs>
</ds:datastoreItem>
</file>

<file path=customXml/itemProps3.xml><?xml version="1.0" encoding="utf-8"?>
<ds:datastoreItem xmlns:ds="http://schemas.openxmlformats.org/officeDocument/2006/customXml" ds:itemID="{9E5DFF2F-FCA3-421D-9A9D-97844EFEB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4762</Words>
  <Characters>27147</Characters>
  <Application>Microsoft Office Word</Application>
  <DocSecurity>0</DocSecurity>
  <Lines>226</Lines>
  <Paragraphs>63</Paragraphs>
  <ScaleCrop>false</ScaleCrop>
  <Company/>
  <LinksUpToDate>false</LinksUpToDate>
  <CharactersWithSpaces>31846</CharactersWithSpaces>
  <SharedDoc>false</SharedDoc>
  <HLinks>
    <vt:vector size="72" baseType="variant">
      <vt:variant>
        <vt:i4>6357117</vt:i4>
      </vt:variant>
      <vt:variant>
        <vt:i4>33</vt:i4>
      </vt:variant>
      <vt:variant>
        <vt:i4>0</vt:i4>
      </vt:variant>
      <vt:variant>
        <vt:i4>5</vt:i4>
      </vt:variant>
      <vt:variant>
        <vt:lpwstr>https://www.icas.com/contact-us/icas-technical-helpdesk</vt:lpwstr>
      </vt:variant>
      <vt:variant>
        <vt:lpwstr/>
      </vt:variant>
      <vt:variant>
        <vt:i4>2293821</vt:i4>
      </vt:variant>
      <vt:variant>
        <vt:i4>30</vt:i4>
      </vt:variant>
      <vt:variant>
        <vt:i4>0</vt:i4>
      </vt:variant>
      <vt:variant>
        <vt:i4>5</vt:i4>
      </vt:variant>
      <vt:variant>
        <vt:lpwstr>https://www.icas.com/professional-resources/ethics/icas-code-of-ethics</vt:lpwstr>
      </vt:variant>
      <vt:variant>
        <vt:lpwstr/>
      </vt:variant>
      <vt:variant>
        <vt:i4>6881313</vt:i4>
      </vt:variant>
      <vt:variant>
        <vt:i4>27</vt:i4>
      </vt:variant>
      <vt:variant>
        <vt:i4>0</vt:i4>
      </vt:variant>
      <vt:variant>
        <vt:i4>5</vt:i4>
      </vt:variant>
      <vt:variant>
        <vt:lpwstr>https://www.ccab.org.uk/anti-money-laundering-and-counter-terrorist-financing-guidance-for-the-accountancy-sector-2023/</vt:lpwstr>
      </vt:variant>
      <vt:variant>
        <vt:lpwstr/>
      </vt:variant>
      <vt:variant>
        <vt:i4>1703987</vt:i4>
      </vt:variant>
      <vt:variant>
        <vt:i4>24</vt:i4>
      </vt:variant>
      <vt:variant>
        <vt:i4>0</vt:i4>
      </vt:variant>
      <vt:variant>
        <vt:i4>5</vt:i4>
      </vt:variant>
      <vt:variant>
        <vt:lpwstr>https://www.icas.com/__data/assets/pdf_file/0007/543256/Clients-Money-Regulations-03-01-2024-rebranded.pdf</vt:lpwstr>
      </vt:variant>
      <vt:variant>
        <vt:lpwstr/>
      </vt:variant>
      <vt:variant>
        <vt:i4>7536702</vt:i4>
      </vt:variant>
      <vt:variant>
        <vt:i4>21</vt:i4>
      </vt:variant>
      <vt:variant>
        <vt:i4>0</vt:i4>
      </vt:variant>
      <vt:variant>
        <vt:i4>5</vt:i4>
      </vt:variant>
      <vt:variant>
        <vt:lpwstr>https://www.icas.com/professional-resources/practice/knowledge-centre/general-practice-manual/c/Insolvency-Funds-Compliance-Review.docx</vt:lpwstr>
      </vt:variant>
      <vt:variant>
        <vt:lpwstr/>
      </vt:variant>
      <vt:variant>
        <vt:i4>7340142</vt:i4>
      </vt:variant>
      <vt:variant>
        <vt:i4>18</vt:i4>
      </vt:variant>
      <vt:variant>
        <vt:i4>0</vt:i4>
      </vt:variant>
      <vt:variant>
        <vt:i4>5</vt:i4>
      </vt:variant>
      <vt:variant>
        <vt:lpwstr>https://www.icas.com/professional-resources/practice/knowledge-centre/general-practice-manual/CMR-Annual-compliance-review.docx</vt:lpwstr>
      </vt:variant>
      <vt:variant>
        <vt:lpwstr/>
      </vt:variant>
      <vt:variant>
        <vt:i4>6422644</vt:i4>
      </vt:variant>
      <vt:variant>
        <vt:i4>15</vt:i4>
      </vt:variant>
      <vt:variant>
        <vt:i4>0</vt:i4>
      </vt:variant>
      <vt:variant>
        <vt:i4>5</vt:i4>
      </vt:variant>
      <vt:variant>
        <vt:lpwstr>https://www.icas.com/professional-resources/practice/knowledge-centre/general-practice-manual/CMR-Specimen-letter-to-bank-regarding-client-account.docx</vt:lpwstr>
      </vt:variant>
      <vt:variant>
        <vt:lpwstr/>
      </vt:variant>
      <vt:variant>
        <vt:i4>7340142</vt:i4>
      </vt:variant>
      <vt:variant>
        <vt:i4>12</vt:i4>
      </vt:variant>
      <vt:variant>
        <vt:i4>0</vt:i4>
      </vt:variant>
      <vt:variant>
        <vt:i4>5</vt:i4>
      </vt:variant>
      <vt:variant>
        <vt:lpwstr>https://www.icas.com/professional-resources/practice/knowledge-centre/general-practice-manual/CMR-Annual-compliance-review.docx</vt:lpwstr>
      </vt:variant>
      <vt:variant>
        <vt:lpwstr/>
      </vt:variant>
      <vt:variant>
        <vt:i4>2293821</vt:i4>
      </vt:variant>
      <vt:variant>
        <vt:i4>9</vt:i4>
      </vt:variant>
      <vt:variant>
        <vt:i4>0</vt:i4>
      </vt:variant>
      <vt:variant>
        <vt:i4>5</vt:i4>
      </vt:variant>
      <vt:variant>
        <vt:lpwstr>https://www.icas.com/professional-resources/ethics/icas-code-of-ethics</vt:lpwstr>
      </vt:variant>
      <vt:variant>
        <vt:lpwstr/>
      </vt:variant>
      <vt:variant>
        <vt:i4>6881313</vt:i4>
      </vt:variant>
      <vt:variant>
        <vt:i4>6</vt:i4>
      </vt:variant>
      <vt:variant>
        <vt:i4>0</vt:i4>
      </vt:variant>
      <vt:variant>
        <vt:i4>5</vt:i4>
      </vt:variant>
      <vt:variant>
        <vt:lpwstr>https://www.ccab.org.uk/anti-money-laundering-and-counter-terrorist-financing-guidance-for-the-accountancy-sector-2023/</vt:lpwstr>
      </vt:variant>
      <vt:variant>
        <vt:lpwstr/>
      </vt:variant>
      <vt:variant>
        <vt:i4>3473473</vt:i4>
      </vt:variant>
      <vt:variant>
        <vt:i4>3</vt:i4>
      </vt:variant>
      <vt:variant>
        <vt:i4>0</vt:i4>
      </vt:variant>
      <vt:variant>
        <vt:i4>5</vt:i4>
      </vt:variant>
      <vt:variant>
        <vt:lpwstr>https://www.icas.com/__data/assets/word_doc/0007/532825/AML-Helpsheet.docx</vt:lpwstr>
      </vt:variant>
      <vt:variant>
        <vt:lpwstr/>
      </vt:variant>
      <vt:variant>
        <vt:i4>1703987</vt:i4>
      </vt:variant>
      <vt:variant>
        <vt:i4>0</vt:i4>
      </vt:variant>
      <vt:variant>
        <vt:i4>0</vt:i4>
      </vt:variant>
      <vt:variant>
        <vt:i4>5</vt:i4>
      </vt:variant>
      <vt:variant>
        <vt:lpwstr>https://www.icas.com/__data/assets/pdf_file/0007/543256/Clients-Money-Regulations-03-01-2024-rebranded.pdf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Byrne</dc:creator>
  <cp:keywords/>
  <cp:lastModifiedBy>Davide Tedesco</cp:lastModifiedBy>
  <cp:revision>2</cp:revision>
  <dcterms:created xsi:type="dcterms:W3CDTF">2024-09-02T10:27:00Z</dcterms:created>
  <dcterms:modified xsi:type="dcterms:W3CDTF">2024-09-02T10:27:00Z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for Office 365</vt:lpwstr>
  </property>
  <property fmtid="{D5CDD505-2E9C-101B-9397-08002B2CF9AE}" pid="4" name="LastSaved">
    <vt:filetime>2020-08-05T00:00:00Z</vt:filetime>
  </property>
  <property fmtid="{D5CDD505-2E9C-101B-9397-08002B2CF9AE}" pid="5" name="ContentTypeId">
    <vt:lpwstr>0x010100B358CB58330DE6489439988E1A6A5EBB</vt:lpwstr>
  </property>
  <property fmtid="{D5CDD505-2E9C-101B-9397-08002B2CF9AE}" pid="6" name="MediaServiceImageTags">
    <vt:lpwstr/>
  </property>
</Properties>
</file>