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F272" w14:textId="74B88CA3" w:rsidR="00884377" w:rsidRPr="001A5F55" w:rsidRDefault="00884377" w:rsidP="00884377">
      <w:pPr>
        <w:pStyle w:val="Heading1"/>
        <w:rPr>
          <w:rFonts w:ascii="Arial" w:hAnsi="Arial" w:cs="Arial"/>
          <w:b/>
          <w:bCs/>
          <w:i/>
          <w:iCs/>
          <w:color w:val="auto"/>
          <w:sz w:val="20"/>
          <w:szCs w:val="20"/>
        </w:rPr>
      </w:pPr>
      <w:bookmarkStart w:id="0" w:name="_PART_2_O_1"/>
      <w:bookmarkStart w:id="1" w:name="part2P"/>
      <w:bookmarkEnd w:id="0"/>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P</w:t>
      </w:r>
      <w:r w:rsidR="00325FE1" w:rsidRPr="001A5F55">
        <w:rPr>
          <w:rFonts w:ascii="Arial" w:hAnsi="Arial" w:cs="Arial"/>
          <w:b/>
          <w:bCs/>
          <w:i/>
          <w:iCs/>
          <w:color w:val="auto"/>
          <w:sz w:val="20"/>
          <w:szCs w:val="20"/>
        </w:rPr>
        <w:t xml:space="preserve"> </w:t>
      </w:r>
      <w:bookmarkEnd w:id="1"/>
      <w:r w:rsidRPr="001A5F55">
        <w:rPr>
          <w:rFonts w:ascii="Arial" w:hAnsi="Arial" w:cs="Arial"/>
          <w:b/>
          <w:bCs/>
          <w:i/>
          <w:iCs/>
          <w:color w:val="auto"/>
          <w:sz w:val="20"/>
          <w:szCs w:val="20"/>
        </w:rPr>
        <w:t>– SPECIALIST OR AD HOC TAXATION SERVICES</w:t>
      </w:r>
    </w:p>
    <w:p w14:paraId="5417E35E"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337A72FA" w14:textId="77777777" w:rsidR="00884377" w:rsidRPr="001A5F55" w:rsidRDefault="00884377" w:rsidP="00884377">
      <w:pPr>
        <w:pStyle w:val="BodyText"/>
        <w:rPr>
          <w:rFonts w:cs="Arial"/>
          <w:sz w:val="20"/>
          <w:szCs w:val="20"/>
        </w:rPr>
      </w:pPr>
      <w:r w:rsidRPr="001A5F55">
        <w:rPr>
          <w:rFonts w:cs="Arial"/>
          <w:sz w:val="20"/>
          <w:szCs w:val="20"/>
        </w:rPr>
        <w:t>This schedule should be read in conjunction with the engagement letter and the terms of business.</w:t>
      </w:r>
    </w:p>
    <w:p w14:paraId="7B99B4E3" w14:textId="77777777" w:rsidR="00884377" w:rsidRPr="001A5F55" w:rsidRDefault="00884377" w:rsidP="00884377">
      <w:pPr>
        <w:rPr>
          <w:rFonts w:cs="Arial"/>
          <w:sz w:val="20"/>
          <w:szCs w:val="20"/>
        </w:rPr>
      </w:pPr>
    </w:p>
    <w:p w14:paraId="52BD6106" w14:textId="77777777" w:rsidR="00884377" w:rsidRPr="008627EE" w:rsidRDefault="00884377" w:rsidP="001B6B1A">
      <w:pPr>
        <w:pStyle w:val="ICANumHead"/>
        <w:numPr>
          <w:ilvl w:val="0"/>
          <w:numId w:val="53"/>
        </w:numPr>
        <w:rPr>
          <w:rFonts w:ascii="Arial" w:hAnsi="Arial"/>
          <w:color w:val="auto"/>
          <w:sz w:val="20"/>
          <w:szCs w:val="20"/>
        </w:rPr>
      </w:pPr>
      <w:r w:rsidRPr="008627EE">
        <w:rPr>
          <w:rFonts w:ascii="Arial" w:hAnsi="Arial"/>
          <w:color w:val="auto"/>
          <w:sz w:val="20"/>
          <w:szCs w:val="20"/>
        </w:rPr>
        <w:t>RESPONSIBILITIES AND SCOPE IN RELATION TO …………………</w:t>
      </w:r>
      <w:r w:rsidRPr="008627EE">
        <w:rPr>
          <w:rFonts w:ascii="Arial" w:hAnsi="Arial"/>
          <w:i/>
          <w:iCs/>
          <w:color w:val="auto"/>
          <w:sz w:val="20"/>
          <w:szCs w:val="20"/>
          <w:highlight w:val="yellow"/>
        </w:rPr>
        <w:t>insert name of TRANSACTION OR project</w:t>
      </w:r>
      <w:r w:rsidRPr="008627EE">
        <w:rPr>
          <w:rFonts w:ascii="Arial" w:hAnsi="Arial"/>
          <w:color w:val="auto"/>
          <w:sz w:val="20"/>
          <w:szCs w:val="20"/>
        </w:rPr>
        <w:t>.</w:t>
      </w:r>
    </w:p>
    <w:p w14:paraId="4640070F" w14:textId="77777777" w:rsidR="00884377" w:rsidRPr="001A5F55" w:rsidRDefault="00884377" w:rsidP="00884377">
      <w:pPr>
        <w:rPr>
          <w:rFonts w:cs="Arial"/>
          <w:sz w:val="20"/>
          <w:szCs w:val="20"/>
        </w:rPr>
      </w:pPr>
    </w:p>
    <w:p w14:paraId="215BA929"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Compliance work</w:t>
      </w:r>
    </w:p>
    <w:p w14:paraId="54755426" w14:textId="77777777" w:rsidR="00884377" w:rsidRPr="001A5F55" w:rsidRDefault="00884377" w:rsidP="00884377">
      <w:pPr>
        <w:pStyle w:val="BodyText"/>
        <w:rPr>
          <w:rFonts w:cs="Arial"/>
          <w:sz w:val="20"/>
          <w:szCs w:val="20"/>
        </w:rPr>
      </w:pPr>
    </w:p>
    <w:p w14:paraId="342A0FDF" w14:textId="77777777" w:rsidR="00884377" w:rsidRPr="001A5F55" w:rsidRDefault="00884377" w:rsidP="00884377">
      <w:pPr>
        <w:pStyle w:val="ICANumtext"/>
        <w:rPr>
          <w:rFonts w:cs="Arial"/>
          <w:sz w:val="20"/>
          <w:szCs w:val="20"/>
        </w:rPr>
      </w:pPr>
      <w:r w:rsidRPr="001A5F55">
        <w:rPr>
          <w:rFonts w:cs="Arial"/>
          <w:sz w:val="20"/>
          <w:szCs w:val="20"/>
        </w:rPr>
        <w:t>[We will provide ad hoc tax advisory services as requested by you from time to time] [We will provide tax advisory services in relation to [</w:t>
      </w:r>
      <w:proofErr w:type="spellStart"/>
      <w:r w:rsidRPr="001A5F55">
        <w:rPr>
          <w:rFonts w:cs="Arial"/>
          <w:sz w:val="20"/>
          <w:szCs w:val="20"/>
        </w:rPr>
        <w:t>eg</w:t>
      </w:r>
      <w:proofErr w:type="spellEnd"/>
      <w:r w:rsidRPr="001A5F55">
        <w:rPr>
          <w:rFonts w:cs="Arial"/>
          <w:sz w:val="20"/>
          <w:szCs w:val="20"/>
        </w:rPr>
        <w:t xml:space="preserve">, the sale of your shareholding in </w:t>
      </w:r>
      <w:proofErr w:type="spellStart"/>
      <w:r w:rsidRPr="001A5F55">
        <w:rPr>
          <w:rFonts w:cs="Arial"/>
          <w:sz w:val="20"/>
          <w:szCs w:val="20"/>
        </w:rPr>
        <w:t>Xyz</w:t>
      </w:r>
      <w:proofErr w:type="spellEnd"/>
      <w:r w:rsidRPr="001A5F55">
        <w:rPr>
          <w:rFonts w:cs="Arial"/>
          <w:sz w:val="20"/>
          <w:szCs w:val="20"/>
        </w:rPr>
        <w:t xml:space="preserve"> Co]]. </w:t>
      </w:r>
    </w:p>
    <w:p w14:paraId="4CAF9E3A" w14:textId="77777777" w:rsidR="00884377" w:rsidRPr="001A5F55" w:rsidRDefault="00884377" w:rsidP="00884377">
      <w:pPr>
        <w:pStyle w:val="BodyText"/>
        <w:rPr>
          <w:rFonts w:cs="Arial"/>
          <w:sz w:val="20"/>
          <w:szCs w:val="20"/>
        </w:rPr>
      </w:pPr>
    </w:p>
    <w:p w14:paraId="0855E41A" w14:textId="77777777" w:rsidR="00884377" w:rsidRPr="001A5F55" w:rsidRDefault="00884377" w:rsidP="00884377">
      <w:pPr>
        <w:pStyle w:val="ICANumtext"/>
        <w:rPr>
          <w:rFonts w:cs="Arial"/>
          <w:sz w:val="20"/>
          <w:szCs w:val="20"/>
        </w:rPr>
      </w:pPr>
      <w:r w:rsidRPr="001A5F55">
        <w:rPr>
          <w:rFonts w:cs="Arial"/>
          <w:sz w:val="20"/>
          <w:szCs w:val="20"/>
        </w:rPr>
        <w:t>Our services may include telephone conversations, attendance at meetings and written advice, as and when requested by you.</w:t>
      </w:r>
    </w:p>
    <w:p w14:paraId="621C626E" w14:textId="77777777" w:rsidR="00884377" w:rsidRPr="001A5F55" w:rsidRDefault="00884377" w:rsidP="00884377">
      <w:pPr>
        <w:pStyle w:val="BodyText"/>
        <w:rPr>
          <w:rFonts w:cs="Arial"/>
          <w:sz w:val="20"/>
          <w:szCs w:val="20"/>
        </w:rPr>
      </w:pPr>
    </w:p>
    <w:p w14:paraId="75F8FD82" w14:textId="77777777" w:rsidR="00884377" w:rsidRPr="001A5F55" w:rsidRDefault="00884377" w:rsidP="00884377">
      <w:pPr>
        <w:pStyle w:val="ICANumtext"/>
        <w:rPr>
          <w:rFonts w:cs="Arial"/>
          <w:sz w:val="20"/>
          <w:szCs w:val="20"/>
        </w:rPr>
      </w:pPr>
      <w:r w:rsidRPr="001A5F55">
        <w:rPr>
          <w:rFonts w:cs="Arial"/>
          <w:sz w:val="20"/>
          <w:szCs w:val="20"/>
        </w:rPr>
        <w:t xml:space="preserve">We will not provide any other tax services unless covered by a separate engagement letter or another schedule to this letter. </w:t>
      </w:r>
    </w:p>
    <w:p w14:paraId="6C22657A" w14:textId="77777777" w:rsidR="00884377" w:rsidRPr="001A5F55" w:rsidRDefault="00884377" w:rsidP="00884377">
      <w:pPr>
        <w:pStyle w:val="BodyText"/>
        <w:rPr>
          <w:rFonts w:cs="Arial"/>
          <w:sz w:val="20"/>
          <w:szCs w:val="20"/>
        </w:rPr>
      </w:pPr>
    </w:p>
    <w:p w14:paraId="7E9BDFE5" w14:textId="77777777" w:rsidR="00884377" w:rsidRPr="001A5F55" w:rsidRDefault="00884377" w:rsidP="00884377">
      <w:pPr>
        <w:pStyle w:val="ICANumtext"/>
        <w:rPr>
          <w:rFonts w:cs="Arial"/>
          <w:sz w:val="20"/>
          <w:szCs w:val="20"/>
        </w:rPr>
      </w:pPr>
      <w:r w:rsidRPr="001A5F55">
        <w:rPr>
          <w:rFonts w:cs="Arial"/>
          <w:sz w:val="20"/>
          <w:szCs w:val="20"/>
        </w:rPr>
        <w:t xml:space="preserve">If additional or specialist expertise is required, we may need to seek this from, or refer you to, a specialist. </w:t>
      </w:r>
    </w:p>
    <w:p w14:paraId="3CE947A8" w14:textId="77777777" w:rsidR="00884377" w:rsidRPr="001A5F55" w:rsidRDefault="00884377" w:rsidP="00884377">
      <w:pPr>
        <w:pStyle w:val="BodyText"/>
        <w:rPr>
          <w:rFonts w:cs="Arial"/>
          <w:sz w:val="20"/>
          <w:szCs w:val="20"/>
        </w:rPr>
      </w:pPr>
    </w:p>
    <w:p w14:paraId="5C6ECE6C"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21F1EFA2" w14:textId="77777777" w:rsidR="00884377" w:rsidRPr="001A5F55" w:rsidRDefault="00884377" w:rsidP="00884377">
      <w:pPr>
        <w:pStyle w:val="BodyText"/>
        <w:rPr>
          <w:rFonts w:cs="Arial"/>
          <w:sz w:val="20"/>
          <w:szCs w:val="20"/>
        </w:rPr>
      </w:pPr>
    </w:p>
    <w:p w14:paraId="5982F0FE" w14:textId="77777777" w:rsidR="00884377" w:rsidRPr="001A5F55" w:rsidRDefault="00884377" w:rsidP="00884377">
      <w:pPr>
        <w:pStyle w:val="ICANumtext"/>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0F6423A2" w14:textId="77777777" w:rsidR="00884377" w:rsidRPr="001A5F55" w:rsidRDefault="00884377" w:rsidP="00884377">
      <w:pPr>
        <w:pStyle w:val="BodyText"/>
        <w:rPr>
          <w:rFonts w:cs="Arial"/>
          <w:sz w:val="20"/>
          <w:szCs w:val="20"/>
        </w:rPr>
      </w:pPr>
    </w:p>
    <w:p w14:paraId="0FB7ABC9" w14:textId="77777777" w:rsidR="00884377" w:rsidRPr="001A5F55" w:rsidRDefault="00884377" w:rsidP="00884377">
      <w:pPr>
        <w:pStyle w:val="ICANumtext"/>
        <w:rPr>
          <w:rFonts w:cs="Arial"/>
          <w:sz w:val="20"/>
          <w:szCs w:val="20"/>
        </w:rPr>
      </w:pPr>
      <w:r w:rsidRPr="001A5F55">
        <w:rPr>
          <w:rFonts w:cs="Arial"/>
          <w:sz w:val="20"/>
          <w:szCs w:val="20"/>
        </w:rPr>
        <w:t>We will accept no liability for losses arising from changes in the law (or the interpretation thereof), practice or public policy that are first published after the date on which the advice is given.</w:t>
      </w:r>
    </w:p>
    <w:p w14:paraId="1445FEC3" w14:textId="77777777" w:rsidR="00884377" w:rsidRPr="001A5F55" w:rsidRDefault="00884377" w:rsidP="00884377">
      <w:pPr>
        <w:pStyle w:val="BodyText"/>
        <w:rPr>
          <w:rFonts w:cs="Arial"/>
          <w:sz w:val="20"/>
          <w:szCs w:val="20"/>
        </w:rPr>
      </w:pPr>
    </w:p>
    <w:p w14:paraId="5C4B2FEB"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4B7A233C" w14:textId="77777777" w:rsidR="00884377" w:rsidRPr="001A5F55" w:rsidRDefault="00884377" w:rsidP="00884377">
      <w:pPr>
        <w:pStyle w:val="BodyText"/>
        <w:rPr>
          <w:rFonts w:cs="Arial"/>
          <w:sz w:val="20"/>
          <w:szCs w:val="20"/>
        </w:rPr>
      </w:pPr>
    </w:p>
    <w:p w14:paraId="27A69EF9" w14:textId="77777777" w:rsidR="00884377" w:rsidRPr="001A5F55" w:rsidRDefault="00884377" w:rsidP="00884377">
      <w:pPr>
        <w:pStyle w:val="ICANumtext"/>
        <w:rPr>
          <w:rFonts w:cs="Arial"/>
          <w:sz w:val="20"/>
          <w:szCs w:val="20"/>
        </w:rPr>
      </w:pPr>
      <w:r w:rsidRPr="001A5F55">
        <w:rPr>
          <w:rFonts w:cs="Arial"/>
          <w:sz w:val="20"/>
          <w:szCs w:val="20"/>
        </w:rPr>
        <w:t xml:space="preserve">You agree to provide full information necessary for us to advise in relation to your affairs. We will rely on the information and documents being true, </w:t>
      </w:r>
      <w:proofErr w:type="gramStart"/>
      <w:r w:rsidRPr="001A5F55">
        <w:rPr>
          <w:rFonts w:cs="Arial"/>
          <w:sz w:val="20"/>
          <w:szCs w:val="20"/>
        </w:rPr>
        <w:t>correct</w:t>
      </w:r>
      <w:proofErr w:type="gramEnd"/>
      <w:r w:rsidRPr="001A5F55">
        <w:rPr>
          <w:rFonts w:cs="Arial"/>
          <w:sz w:val="20"/>
          <w:szCs w:val="20"/>
        </w:rPr>
        <w:t xml:space="preserve"> and complete and will not audit the information or those documents.</w:t>
      </w:r>
    </w:p>
    <w:p w14:paraId="3E2D78B2" w14:textId="77777777" w:rsidR="00884377" w:rsidRPr="001A5F55" w:rsidRDefault="00884377" w:rsidP="00884377">
      <w:pPr>
        <w:pStyle w:val="BodyText"/>
        <w:rPr>
          <w:rFonts w:cs="Arial"/>
          <w:sz w:val="20"/>
          <w:szCs w:val="20"/>
        </w:rPr>
      </w:pPr>
    </w:p>
    <w:p w14:paraId="717C0E04" w14:textId="77777777" w:rsidR="00884377" w:rsidRPr="001A5F55" w:rsidRDefault="00884377" w:rsidP="00884377">
      <w:pPr>
        <w:pStyle w:val="ICANumtext"/>
        <w:rPr>
          <w:rFonts w:cs="Arial"/>
          <w:sz w:val="20"/>
          <w:szCs w:val="20"/>
        </w:rPr>
      </w:pPr>
      <w:r w:rsidRPr="001A5F55">
        <w:rPr>
          <w:rFonts w:cs="Arial"/>
          <w:sz w:val="20"/>
          <w:szCs w:val="20"/>
        </w:rPr>
        <w:t>If you require tax advice in relation to a proposed transaction, we recommend that you instruct us sufficiently in advance so that we have time to give properly considered advice before the transaction takes place.</w:t>
      </w:r>
    </w:p>
    <w:p w14:paraId="3F32A8FD" w14:textId="77777777" w:rsidR="00884377" w:rsidRPr="001A5F55" w:rsidRDefault="00884377" w:rsidP="00884377">
      <w:pPr>
        <w:pStyle w:val="BodyText"/>
        <w:rPr>
          <w:rFonts w:cs="Arial"/>
          <w:sz w:val="20"/>
          <w:szCs w:val="20"/>
        </w:rPr>
      </w:pPr>
      <w:r w:rsidRPr="001A5F55">
        <w:rPr>
          <w:rFonts w:cs="Arial"/>
          <w:sz w:val="20"/>
          <w:szCs w:val="20"/>
        </w:rPr>
        <w:t xml:space="preserve"> </w:t>
      </w:r>
    </w:p>
    <w:p w14:paraId="1589BD5E" w14:textId="77777777" w:rsidR="00884377" w:rsidRPr="001A5F55" w:rsidRDefault="00884377" w:rsidP="00884377">
      <w:pPr>
        <w:pStyle w:val="ICANumtext"/>
        <w:rPr>
          <w:rFonts w:cs="Arial"/>
          <w:sz w:val="20"/>
          <w:szCs w:val="20"/>
        </w:rPr>
      </w:pPr>
      <w:r w:rsidRPr="001A5F55">
        <w:rPr>
          <w:rFonts w:cs="Arial"/>
          <w:sz w:val="20"/>
          <w:szCs w:val="20"/>
        </w:rPr>
        <w:t>You authorise us to approach such third parties as may be appropriate, for information that we consider necessary to provide the advice.</w:t>
      </w:r>
    </w:p>
    <w:p w14:paraId="60326F40" w14:textId="77777777" w:rsidR="00884377" w:rsidRPr="001A5F55" w:rsidRDefault="00884377" w:rsidP="00884377">
      <w:pPr>
        <w:pStyle w:val="BodyText"/>
        <w:rPr>
          <w:rFonts w:cs="Arial"/>
          <w:sz w:val="20"/>
          <w:szCs w:val="20"/>
        </w:rPr>
      </w:pPr>
    </w:p>
    <w:p w14:paraId="09E2DB9F" w14:textId="77777777" w:rsidR="00884377" w:rsidRPr="001A5F55" w:rsidRDefault="00884377" w:rsidP="00884377">
      <w:pPr>
        <w:pStyle w:val="ICANumtext"/>
        <w:rPr>
          <w:rFonts w:cs="Arial"/>
          <w:sz w:val="20"/>
          <w:szCs w:val="20"/>
        </w:rPr>
      </w:pPr>
      <w:r w:rsidRPr="001A5F55">
        <w:rPr>
          <w:rFonts w:cs="Arial"/>
          <w:sz w:val="20"/>
          <w:szCs w:val="20"/>
        </w:rPr>
        <w:t xml:space="preserve">You will keep us informed of material changes in your circumstances that could affect the tax advisory services we are providing. If you are unsure whether the change is material, please let us know so that we can assess its significance. </w:t>
      </w:r>
    </w:p>
    <w:p w14:paraId="5F100F6B" w14:textId="77777777" w:rsidR="00884377" w:rsidRPr="001A5F55" w:rsidRDefault="00884377" w:rsidP="00884377">
      <w:pPr>
        <w:pStyle w:val="BodyText"/>
        <w:rPr>
          <w:rFonts w:cs="Arial"/>
          <w:sz w:val="20"/>
          <w:szCs w:val="20"/>
        </w:rPr>
      </w:pPr>
    </w:p>
    <w:p w14:paraId="062C5F9B" w14:textId="77777777" w:rsidR="00884377" w:rsidRPr="001A5F55" w:rsidRDefault="00884377" w:rsidP="00884377">
      <w:pPr>
        <w:pStyle w:val="ICANumtext"/>
        <w:rPr>
          <w:rFonts w:cs="Arial"/>
          <w:sz w:val="20"/>
          <w:szCs w:val="20"/>
        </w:rPr>
      </w:pPr>
      <w:r w:rsidRPr="001A5F55">
        <w:rPr>
          <w:rFonts w:cs="Arial"/>
          <w:sz w:val="20"/>
          <w:szCs w:val="20"/>
        </w:rPr>
        <w:t>[You are responsible for monitoring your monthly turnover to establish whether you are liable to register for VAT. If you do not understand what you need to do, please ask us. If your turnover exceeds the UK VAT registration threshold, and you wish us to assist you in notifying HMRC of your obligation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 The same applies for equivalent non-UK taxes.]</w:t>
      </w:r>
    </w:p>
    <w:p w14:paraId="6F5C67B7" w14:textId="77777777" w:rsidR="00884377" w:rsidRPr="001A5F55" w:rsidRDefault="00884377" w:rsidP="00884377">
      <w:pPr>
        <w:pStyle w:val="BodyText"/>
        <w:rPr>
          <w:rFonts w:cs="Arial"/>
          <w:sz w:val="20"/>
          <w:szCs w:val="20"/>
        </w:rPr>
      </w:pPr>
    </w:p>
    <w:p w14:paraId="4703D057" w14:textId="5141A771" w:rsidR="00884377" w:rsidRDefault="00884377" w:rsidP="00884377">
      <w:pPr>
        <w:pStyle w:val="ICANumtext"/>
        <w:rPr>
          <w:rFonts w:cs="Arial"/>
          <w:sz w:val="20"/>
          <w:szCs w:val="20"/>
        </w:rPr>
      </w:pPr>
      <w:r w:rsidRPr="001A5F55">
        <w:rPr>
          <w:rFonts w:cs="Arial"/>
          <w:sz w:val="20"/>
          <w:szCs w:val="20"/>
        </w:rPr>
        <w:lastRenderedPageBreak/>
        <w:t>[If you provide digital services to consumers in the EU</w:t>
      </w:r>
      <w:r w:rsidR="00825717">
        <w:rPr>
          <w:rFonts w:cs="Arial"/>
          <w:sz w:val="20"/>
          <w:szCs w:val="20"/>
        </w:rPr>
        <w:t>,</w:t>
      </w:r>
      <w:r w:rsidR="004B69E0">
        <w:rPr>
          <w:rFonts w:cs="Arial"/>
          <w:sz w:val="20"/>
          <w:szCs w:val="20"/>
        </w:rPr>
        <w:t xml:space="preserve"> up to 30 June 2021</w:t>
      </w:r>
      <w:r w:rsidRPr="001A5F55">
        <w:rPr>
          <w:rFonts w:cs="Arial"/>
          <w:sz w:val="20"/>
          <w:szCs w:val="20"/>
        </w:rPr>
        <w:t xml:space="preserve">, you are responsible either for registering for VAT in that member state, or for registering for VAT Mini One Stop Shop (MOSS) in </w:t>
      </w:r>
      <w:r w:rsidR="007E45BB">
        <w:rPr>
          <w:rFonts w:cs="Arial"/>
          <w:sz w:val="20"/>
          <w:szCs w:val="20"/>
        </w:rPr>
        <w:t>one EU member state</w:t>
      </w:r>
      <w:r w:rsidRPr="001A5F55">
        <w:rPr>
          <w:rFonts w:cs="Arial"/>
          <w:sz w:val="20"/>
          <w:szCs w:val="20"/>
        </w:rPr>
        <w:t>.]</w:t>
      </w:r>
    </w:p>
    <w:p w14:paraId="542635E5" w14:textId="77777777" w:rsidR="007E45BB" w:rsidRDefault="007E45BB" w:rsidP="00C91D2C">
      <w:pPr>
        <w:pStyle w:val="ListParagraph"/>
        <w:rPr>
          <w:rFonts w:cs="Arial"/>
          <w:sz w:val="20"/>
          <w:szCs w:val="20"/>
        </w:rPr>
      </w:pPr>
    </w:p>
    <w:p w14:paraId="2374D543" w14:textId="68A6E287" w:rsidR="007E45BB" w:rsidRPr="001A5F55" w:rsidRDefault="007E45BB" w:rsidP="00884377">
      <w:pPr>
        <w:pStyle w:val="ICANumtext"/>
        <w:rPr>
          <w:rFonts w:cs="Arial"/>
          <w:sz w:val="20"/>
          <w:szCs w:val="20"/>
        </w:rPr>
      </w:pPr>
      <w:r>
        <w:rPr>
          <w:rFonts w:cs="Arial"/>
          <w:sz w:val="20"/>
          <w:szCs w:val="20"/>
        </w:rPr>
        <w:t>If</w:t>
      </w:r>
      <w:r w:rsidR="0091792A">
        <w:rPr>
          <w:rFonts w:cs="Arial"/>
          <w:sz w:val="20"/>
          <w:szCs w:val="20"/>
        </w:rPr>
        <w:t>,</w:t>
      </w:r>
      <w:r>
        <w:rPr>
          <w:rFonts w:cs="Arial"/>
          <w:sz w:val="20"/>
          <w:szCs w:val="20"/>
        </w:rPr>
        <w:t xml:space="preserve"> from 1 July 2021</w:t>
      </w:r>
      <w:r w:rsidR="0091792A">
        <w:rPr>
          <w:rFonts w:cs="Arial"/>
          <w:sz w:val="20"/>
          <w:szCs w:val="20"/>
        </w:rPr>
        <w:t>,</w:t>
      </w:r>
      <w:r>
        <w:rPr>
          <w:rFonts w:cs="Arial"/>
          <w:sz w:val="20"/>
          <w:szCs w:val="20"/>
        </w:rPr>
        <w:t xml:space="preserve"> you supply relevant services or goods to consumers in the EU, you are responsible for registering for VAT in each EU member state where you have a domestic c</w:t>
      </w:r>
      <w:r w:rsidR="00143A98">
        <w:rPr>
          <w:rFonts w:cs="Arial"/>
          <w:sz w:val="20"/>
          <w:szCs w:val="20"/>
        </w:rPr>
        <w:t xml:space="preserve">ustomer or for registering in one EU member state to use the One Stop Shop (OSS) and/or the Import One Stop Shop (IOSS) non-union schemes (i.e. the EU schemes for taxable persons not established in the EU). </w:t>
      </w:r>
    </w:p>
    <w:p w14:paraId="785C72FE" w14:textId="77777777" w:rsidR="00884377" w:rsidRPr="001A5F55" w:rsidRDefault="00884377" w:rsidP="00884377">
      <w:pPr>
        <w:pStyle w:val="BodyText"/>
        <w:rPr>
          <w:rFonts w:cs="Arial"/>
          <w:sz w:val="20"/>
          <w:szCs w:val="20"/>
        </w:rPr>
      </w:pPr>
    </w:p>
    <w:p w14:paraId="0DB46EDE" w14:textId="56EF3442" w:rsidR="00884377" w:rsidRPr="001A5F55" w:rsidRDefault="00884377" w:rsidP="00884377">
      <w:pPr>
        <w:pStyle w:val="ICANumtext"/>
        <w:rPr>
          <w:rFonts w:cs="Arial"/>
          <w:sz w:val="20"/>
          <w:szCs w:val="20"/>
        </w:rPr>
      </w:pPr>
      <w:r w:rsidRPr="001A5F55">
        <w:rPr>
          <w:rFonts w:cs="Arial"/>
          <w:sz w:val="20"/>
          <w:szCs w:val="20"/>
        </w:rPr>
        <w:t>[You are responsible for employment taxes, pensions (including auto-enrolment) and the assessment of the tax status of your workers</w:t>
      </w:r>
      <w:r w:rsidR="008F3ABE">
        <w:rPr>
          <w:rFonts w:cs="Arial"/>
          <w:sz w:val="20"/>
          <w:szCs w:val="20"/>
        </w:rPr>
        <w:t xml:space="preserve"> and of any contractors who are treated as deemed employees under the off-payroll working rules</w:t>
      </w:r>
      <w:r w:rsidRPr="001A5F55">
        <w:rPr>
          <w:rFonts w:cs="Arial"/>
          <w:sz w:val="20"/>
          <w:szCs w:val="20"/>
        </w:rPr>
        <w:t xml:space="preserve">. If you do not understand what you need to consider or what action you need to take, please ask us. We will not be </w:t>
      </w:r>
      <w:proofErr w:type="gramStart"/>
      <w:r w:rsidRPr="001A5F55">
        <w:rPr>
          <w:rFonts w:cs="Arial"/>
          <w:sz w:val="20"/>
          <w:szCs w:val="20"/>
        </w:rPr>
        <w:t>in a position</w:t>
      </w:r>
      <w:proofErr w:type="gramEnd"/>
      <w:r w:rsidRPr="001A5F55">
        <w:rPr>
          <w:rFonts w:cs="Arial"/>
          <w:sz w:val="20"/>
          <w:szCs w:val="20"/>
        </w:rPr>
        <w:t xml:space="preserve"> to assist you in complying with your responsibilities if we are not engaged to provide such a service. We are not responsible for any penalty that is incurred.]</w:t>
      </w:r>
    </w:p>
    <w:p w14:paraId="5E0DE009" w14:textId="77777777" w:rsidR="00884377" w:rsidRPr="001A5F55" w:rsidRDefault="00884377" w:rsidP="00884377">
      <w:pPr>
        <w:pStyle w:val="ListParagraph"/>
        <w:rPr>
          <w:rFonts w:cs="Arial"/>
          <w:sz w:val="20"/>
          <w:szCs w:val="20"/>
        </w:rPr>
      </w:pPr>
    </w:p>
    <w:p w14:paraId="5558AB9C"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If applicable</w:t>
      </w:r>
      <w:r w:rsidRPr="001A5F55">
        <w:rPr>
          <w:rFonts w:cs="Arial"/>
          <w:b/>
          <w:bCs/>
          <w:sz w:val="20"/>
          <w:szCs w:val="20"/>
        </w:rPr>
        <w:t xml:space="preserve"> </w:t>
      </w:r>
      <w:r w:rsidRPr="001A5F55">
        <w:rPr>
          <w:rFonts w:cs="Arial"/>
          <w:sz w:val="20"/>
          <w:szCs w:val="20"/>
        </w:rPr>
        <w:t>[HMRC will send you an agent authorisation code which expires within 30 days of issue. Please send this to us as soon as you receive it. This code will enable us to register as your agent with HMRC</w:t>
      </w:r>
      <w:proofErr w:type="gramStart"/>
      <w:r w:rsidRPr="001A5F55">
        <w:rPr>
          <w:rFonts w:cs="Arial"/>
          <w:sz w:val="20"/>
          <w:szCs w:val="20"/>
        </w:rPr>
        <w:t>.]*</w:t>
      </w:r>
      <w:proofErr w:type="gramEnd"/>
      <w:r w:rsidRPr="001A5F55">
        <w:rPr>
          <w:rFonts w:cs="Arial"/>
          <w:sz w:val="20"/>
          <w:szCs w:val="20"/>
        </w:rPr>
        <w:t xml:space="preserve">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45BC608E" w14:textId="77777777" w:rsidR="00884377" w:rsidRPr="001A5F55" w:rsidRDefault="00884377" w:rsidP="00884377">
      <w:pPr>
        <w:pStyle w:val="BodyText"/>
        <w:rPr>
          <w:rFonts w:cs="Arial"/>
          <w:sz w:val="20"/>
          <w:szCs w:val="20"/>
        </w:rPr>
      </w:pPr>
    </w:p>
    <w:p w14:paraId="07A8B200" w14:textId="0417046E" w:rsidR="00964037" w:rsidRPr="001A5F55" w:rsidRDefault="00884377" w:rsidP="00A94F8C">
      <w:pPr>
        <w:pStyle w:val="ICANumtext"/>
        <w:rPr>
          <w:rFonts w:cs="Arial"/>
          <w:sz w:val="20"/>
          <w:szCs w:val="20"/>
        </w:rPr>
      </w:pPr>
      <w:r w:rsidRPr="001A5F55">
        <w:rPr>
          <w:rFonts w:cs="Arial"/>
          <w:b/>
          <w:bCs/>
          <w:i/>
          <w:iCs/>
          <w:sz w:val="20"/>
          <w:szCs w:val="20"/>
          <w:highlight w:val="yellow"/>
        </w:rPr>
        <w:t>If applicable</w:t>
      </w:r>
      <w:r w:rsidRPr="001A5F55">
        <w:rPr>
          <w:rFonts w:cs="Arial"/>
          <w:b/>
          <w:bCs/>
          <w:sz w:val="20"/>
          <w:szCs w:val="20"/>
        </w:rPr>
        <w:t xml:space="preserve"> </w:t>
      </w:r>
      <w:r w:rsidRPr="001A5F55">
        <w:rPr>
          <w:rFonts w:cs="Arial"/>
          <w:sz w:val="20"/>
          <w:szCs w:val="20"/>
        </w:rPr>
        <w:t xml:space="preserve">You will forward to us any communications received from HMRC, in sufficient time to enable us to deal with them as may be necessary within the requisite time limits. Although HMRC has the 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communications issued to you and, in most cases, will not do so. You should also keep a note of any telephone communication you have with HMRC’s tax credits helpline, including the date and time of the call, and the name of the helpline operator(s).</w:t>
      </w:r>
      <w:bookmarkStart w:id="2" w:name="AccompanyingGuidance"/>
      <w:bookmarkStart w:id="3" w:name="_Ethical_and_regulatory"/>
      <w:bookmarkStart w:id="4" w:name="_Enforceability_and_consumer"/>
      <w:bookmarkStart w:id="5" w:name="_Data_Protection_and"/>
      <w:bookmarkStart w:id="6" w:name="_Specific_scenarios"/>
      <w:bookmarkStart w:id="7" w:name="_Acting_for_a"/>
      <w:bookmarkStart w:id="8" w:name="_Complaint_paragraphs_for"/>
      <w:bookmarkStart w:id="9" w:name="_Further_guidance"/>
      <w:bookmarkEnd w:id="2"/>
      <w:bookmarkEnd w:id="3"/>
      <w:bookmarkEnd w:id="4"/>
      <w:bookmarkEnd w:id="5"/>
      <w:bookmarkEnd w:id="6"/>
      <w:bookmarkEnd w:id="7"/>
      <w:bookmarkEnd w:id="8"/>
      <w:bookmarkEnd w:id="9"/>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B15"/>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4F8C"/>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6608"/>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3C81"/>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2021-05-03T16:31:00Z</dcterms:created>
  <dcterms:modified xsi:type="dcterms:W3CDTF">2021-05-03T16:36:00Z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