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3FE98B" w14:textId="069B08C6" w:rsidR="00497684" w:rsidRPr="00992253" w:rsidRDefault="007D4DB7" w:rsidP="00A32FB1">
      <w:pPr>
        <w:pStyle w:val="Heading1"/>
      </w:pPr>
      <w:r>
        <w:t>Helpsheet</w:t>
      </w:r>
      <w:r w:rsidR="00E86477">
        <w:t xml:space="preserve">: </w:t>
      </w:r>
      <w:r w:rsidR="00B4798B">
        <w:t>Suspicious Activity Reporting</w:t>
      </w:r>
      <w:r w:rsidR="000D29AF">
        <w:t xml:space="preserve"> </w:t>
      </w:r>
    </w:p>
    <w:p w14:paraId="3A6ADBA6" w14:textId="77777777" w:rsidR="00727444" w:rsidRPr="00992253" w:rsidRDefault="00727444" w:rsidP="00A32FB1">
      <w:pPr>
        <w:pStyle w:val="ICASBoxOutBody"/>
      </w:pPr>
      <w:r w:rsidRPr="00893A74">
        <w:rPr>
          <w:b/>
        </w:rPr>
        <w:t>Issued:</w:t>
      </w:r>
      <w:r w:rsidRPr="00992253">
        <w:t xml:space="preserve"> </w:t>
      </w:r>
      <w:r>
        <w:t>March 2021</w:t>
      </w:r>
    </w:p>
    <w:p w14:paraId="30793211" w14:textId="33064F98" w:rsidR="00727444" w:rsidRPr="00992253" w:rsidRDefault="00727444" w:rsidP="00A32FB1">
      <w:pPr>
        <w:pStyle w:val="ICASBoxOutBody"/>
      </w:pPr>
      <w:r w:rsidRPr="00893A74">
        <w:rPr>
          <w:b/>
        </w:rPr>
        <w:t>Last issued:</w:t>
      </w:r>
      <w:r w:rsidRPr="00992253">
        <w:t xml:space="preserve"> </w:t>
      </w:r>
      <w:r w:rsidR="00A17B17">
        <w:t>July 2024</w:t>
      </w:r>
    </w:p>
    <w:p w14:paraId="348289F2" w14:textId="6ED61004" w:rsidR="00727444" w:rsidRPr="00992253" w:rsidRDefault="00727444" w:rsidP="00A32FB1">
      <w:pPr>
        <w:pStyle w:val="ICASBoxOutBody"/>
        <w:rPr>
          <w:b/>
          <w:sz w:val="24"/>
        </w:rPr>
      </w:pPr>
      <w:r w:rsidRPr="00893A74">
        <w:rPr>
          <w:b/>
        </w:rPr>
        <w:t>Last reviewed:</w:t>
      </w:r>
      <w:r w:rsidRPr="00992253">
        <w:t xml:space="preserve"> </w:t>
      </w:r>
      <w:r w:rsidR="00A17B17">
        <w:t>July 2024</w:t>
      </w:r>
    </w:p>
    <w:p w14:paraId="441B1DD2" w14:textId="77777777" w:rsidR="00033FD4" w:rsidRPr="00992253" w:rsidRDefault="00033FD4">
      <w:pPr>
        <w:pStyle w:val="BodyText"/>
        <w:spacing w:before="9"/>
        <w:rPr>
          <w:b/>
          <w:sz w:val="15"/>
        </w:rPr>
      </w:pPr>
    </w:p>
    <w:p w14:paraId="5F53CE8A" w14:textId="23DC0BC7" w:rsidR="00033FD4" w:rsidRPr="00E86B72" w:rsidRDefault="003F692B" w:rsidP="00E86B72">
      <w:pPr>
        <w:pStyle w:val="Heading2"/>
      </w:pPr>
      <w:r w:rsidRPr="00E86B72">
        <w:t>Introduction</w:t>
      </w:r>
    </w:p>
    <w:p w14:paraId="3C3A685D" w14:textId="09D31C35" w:rsidR="002C7D45" w:rsidRDefault="002C7D45" w:rsidP="00E86B72">
      <w:pPr>
        <w:pStyle w:val="ICASBody"/>
      </w:pPr>
      <w:r w:rsidRPr="47464A6C">
        <w:t xml:space="preserve">This </w:t>
      </w:r>
      <w:proofErr w:type="spellStart"/>
      <w:r w:rsidR="00100753">
        <w:t>h</w:t>
      </w:r>
      <w:r w:rsidRPr="47464A6C">
        <w:t>elpsheet</w:t>
      </w:r>
      <w:proofErr w:type="spellEnd"/>
      <w:r w:rsidRPr="47464A6C">
        <w:t xml:space="preserve"> should be read in conjunction with the </w:t>
      </w:r>
      <w:hyperlink r:id="rId11">
        <w:r w:rsidRPr="47464A6C">
          <w:rPr>
            <w:rStyle w:val="Hyperlink"/>
          </w:rPr>
          <w:t>CCAB – Anti-money laundering guidance for the accountancy sector</w:t>
        </w:r>
      </w:hyperlink>
      <w:r w:rsidRPr="47464A6C">
        <w:rPr>
          <w:rStyle w:val="Hyperlink"/>
          <w:color w:val="auto"/>
          <w:u w:val="none"/>
        </w:rPr>
        <w:t>.</w:t>
      </w:r>
    </w:p>
    <w:p w14:paraId="359EEA93" w14:textId="55A6804B" w:rsidR="00D5551B" w:rsidRDefault="00F6459E" w:rsidP="00E86B72">
      <w:pPr>
        <w:pStyle w:val="ICASBody"/>
      </w:pPr>
      <w:r>
        <w:t xml:space="preserve">Suspicious Activity Reports (SARs) </w:t>
      </w:r>
      <w:r w:rsidR="00FD19D9">
        <w:t xml:space="preserve">are </w:t>
      </w:r>
      <w:r w:rsidR="00386B4D">
        <w:t xml:space="preserve">a crucial part of UK law enforcement and are a legal obligation for those working in </w:t>
      </w:r>
      <w:r w:rsidR="005C3730">
        <w:t xml:space="preserve">accountancy, </w:t>
      </w:r>
      <w:r w:rsidR="00881BD8">
        <w:t>audit,</w:t>
      </w:r>
      <w:r w:rsidR="005C3730">
        <w:t xml:space="preserve"> and insolvency</w:t>
      </w:r>
      <w:r w:rsidR="00175BB4">
        <w:t xml:space="preserve"> (the regulated sector)</w:t>
      </w:r>
      <w:r w:rsidR="00386B4D">
        <w:t xml:space="preserve">. </w:t>
      </w:r>
      <w:r w:rsidR="009D22E8">
        <w:t xml:space="preserve">This </w:t>
      </w:r>
      <w:proofErr w:type="spellStart"/>
      <w:r w:rsidR="009D22E8">
        <w:t>helpsheet</w:t>
      </w:r>
      <w:proofErr w:type="spellEnd"/>
      <w:r w:rsidR="009D22E8">
        <w:t xml:space="preserve"> </w:t>
      </w:r>
      <w:r w:rsidR="008C558D">
        <w:t xml:space="preserve">has been prepared to help members </w:t>
      </w:r>
      <w:r w:rsidR="001A47CC">
        <w:t xml:space="preserve">working in </w:t>
      </w:r>
      <w:r w:rsidR="00825BBB">
        <w:t xml:space="preserve">these areas </w:t>
      </w:r>
      <w:r w:rsidR="00356E9A">
        <w:t>to understand the circumstances in which</w:t>
      </w:r>
      <w:r w:rsidR="00D5551B">
        <w:t>:</w:t>
      </w:r>
    </w:p>
    <w:p w14:paraId="01607DBE" w14:textId="59A4CDB7" w:rsidR="00FB416D" w:rsidRDefault="000E3A1C" w:rsidP="009F5A71">
      <w:pPr>
        <w:pStyle w:val="ICASBody"/>
        <w:numPr>
          <w:ilvl w:val="0"/>
          <w:numId w:val="36"/>
        </w:numPr>
      </w:pPr>
      <w:r>
        <w:t>You</w:t>
      </w:r>
      <w:r w:rsidR="00A43927">
        <w:t xml:space="preserve"> are r</w:t>
      </w:r>
      <w:r w:rsidR="00356E9A" w:rsidRPr="00D5551B">
        <w:t>equired to make a</w:t>
      </w:r>
      <w:r w:rsidR="00870A28" w:rsidRPr="00D5551B">
        <w:t xml:space="preserve">n </w:t>
      </w:r>
      <w:r w:rsidR="00870A28" w:rsidRPr="000E3A1C">
        <w:rPr>
          <w:b/>
          <w:bCs/>
        </w:rPr>
        <w:t>internal</w:t>
      </w:r>
      <w:r w:rsidR="00356E9A" w:rsidRPr="000E3A1C">
        <w:rPr>
          <w:b/>
          <w:bCs/>
        </w:rPr>
        <w:t xml:space="preserve"> </w:t>
      </w:r>
      <w:r w:rsidR="0081046D" w:rsidRPr="000E3A1C">
        <w:rPr>
          <w:b/>
          <w:bCs/>
        </w:rPr>
        <w:t>SAR</w:t>
      </w:r>
      <w:r w:rsidR="0081046D" w:rsidRPr="00D5551B">
        <w:t xml:space="preserve"> to </w:t>
      </w:r>
      <w:r w:rsidR="002C39E0">
        <w:t>your</w:t>
      </w:r>
      <w:r w:rsidR="0081046D" w:rsidRPr="00D5551B">
        <w:t xml:space="preserve"> nominated officer</w:t>
      </w:r>
      <w:r w:rsidR="00F34B21" w:rsidRPr="00D5551B">
        <w:t>, the Money Laundering Reporting Officer (MLRO)</w:t>
      </w:r>
      <w:r w:rsidR="009D554F">
        <w:t>;</w:t>
      </w:r>
      <w:r w:rsidR="009C57DD">
        <w:t xml:space="preserve"> and</w:t>
      </w:r>
    </w:p>
    <w:p w14:paraId="5A6D237B" w14:textId="2B608552" w:rsidR="004D475D" w:rsidRDefault="00CA10C2" w:rsidP="009F5A71">
      <w:pPr>
        <w:pStyle w:val="ICASBody"/>
        <w:numPr>
          <w:ilvl w:val="0"/>
          <w:numId w:val="36"/>
        </w:numPr>
      </w:pPr>
      <w:r>
        <w:t>The</w:t>
      </w:r>
      <w:r w:rsidR="003936E7">
        <w:t xml:space="preserve"> MLRO </w:t>
      </w:r>
      <w:r w:rsidR="00926152">
        <w:t xml:space="preserve">should make </w:t>
      </w:r>
      <w:r w:rsidR="008B56B0">
        <w:t xml:space="preserve">an </w:t>
      </w:r>
      <w:r w:rsidR="008B56B0" w:rsidRPr="000E3A1C">
        <w:rPr>
          <w:b/>
          <w:bCs/>
        </w:rPr>
        <w:t>external SAR</w:t>
      </w:r>
      <w:r w:rsidR="008B56B0">
        <w:t xml:space="preserve"> </w:t>
      </w:r>
      <w:r w:rsidR="00141053">
        <w:t>to</w:t>
      </w:r>
      <w:r w:rsidR="0081046D" w:rsidRPr="00D5551B">
        <w:t xml:space="preserve"> the National Crime Agency</w:t>
      </w:r>
      <w:r w:rsidR="00064001" w:rsidRPr="00D5551B">
        <w:t xml:space="preserve"> (NCA)</w:t>
      </w:r>
      <w:r w:rsidR="00305F3F">
        <w:t>, including key pieces of information to include</w:t>
      </w:r>
      <w:r w:rsidR="00692418">
        <w:t>,</w:t>
      </w:r>
      <w:r w:rsidR="00305F3F">
        <w:t xml:space="preserve"> to ensure a quality submission</w:t>
      </w:r>
      <w:r w:rsidR="0081046D" w:rsidRPr="00D5551B">
        <w:t xml:space="preserve">. </w:t>
      </w:r>
    </w:p>
    <w:p w14:paraId="5AF540CB" w14:textId="190152CD" w:rsidR="00EB3C2A" w:rsidRDefault="00EB3C2A" w:rsidP="00C9371B">
      <w:pPr>
        <w:pStyle w:val="Heading2"/>
        <w:spacing w:after="120"/>
        <w:rPr>
          <w:b w:val="0"/>
          <w:bCs w:val="0"/>
        </w:rPr>
      </w:pPr>
      <w:r>
        <w:t>Suspicious Activity Reports (SARs)</w:t>
      </w:r>
    </w:p>
    <w:p w14:paraId="5B88B71A" w14:textId="4A27476B" w:rsidR="00A051F4" w:rsidRPr="00794AD1" w:rsidRDefault="00A051F4" w:rsidP="00E86B72">
      <w:pPr>
        <w:pStyle w:val="Heading3"/>
      </w:pPr>
      <w:r w:rsidRPr="00794AD1">
        <w:t xml:space="preserve">Who can make a </w:t>
      </w:r>
      <w:r w:rsidR="00B62287">
        <w:t>report</w:t>
      </w:r>
      <w:r w:rsidRPr="00794AD1">
        <w:t>?</w:t>
      </w:r>
    </w:p>
    <w:p w14:paraId="231C48EB" w14:textId="7575138E" w:rsidR="00DB22CC" w:rsidRDefault="00D04298" w:rsidP="00E86B72">
      <w:pPr>
        <w:pStyle w:val="ICASBody"/>
      </w:pPr>
      <w:r>
        <w:t>T</w:t>
      </w:r>
      <w:r w:rsidR="00971085">
        <w:t xml:space="preserve">hose working in the regulated sector </w:t>
      </w:r>
      <w:r w:rsidR="007C40E9">
        <w:t xml:space="preserve">are under certain obligations to </w:t>
      </w:r>
      <w:r w:rsidR="00FD417C">
        <w:t xml:space="preserve">make a </w:t>
      </w:r>
      <w:r w:rsidR="00902E36">
        <w:t>report and</w:t>
      </w:r>
      <w:r w:rsidR="00DB22CC">
        <w:t xml:space="preserve"> failing to report is considered a criminal offence with personal liability. Submitting a SAR protects the individual, the organisation and UK financial institutions from the risk of laundering the proceeds of crime. </w:t>
      </w:r>
    </w:p>
    <w:p w14:paraId="48BB018C" w14:textId="1AC4A465" w:rsidR="002D0C57" w:rsidRPr="00741FCC" w:rsidRDefault="00A051F4" w:rsidP="00E86B72">
      <w:pPr>
        <w:pStyle w:val="ICASBody"/>
      </w:pPr>
      <w:r>
        <w:t>Those working in the regulated sector are required under</w:t>
      </w:r>
      <w:r w:rsidR="00D44423">
        <w:t xml:space="preserve"> s.330</w:t>
      </w:r>
      <w:r>
        <w:t xml:space="preserve"> </w:t>
      </w:r>
      <w:r w:rsidR="00396190">
        <w:t xml:space="preserve">of </w:t>
      </w:r>
      <w:hyperlink r:id="rId12" w:history="1">
        <w:r w:rsidRPr="002E1442">
          <w:rPr>
            <w:rStyle w:val="Hyperlink"/>
          </w:rPr>
          <w:t>Part 7 of the Proceeds of Crime Act 2002 (POCA)</w:t>
        </w:r>
      </w:hyperlink>
      <w:r>
        <w:t xml:space="preserve"> and the </w:t>
      </w:r>
      <w:hyperlink r:id="rId13" w:history="1">
        <w:r w:rsidRPr="00487CA3">
          <w:rPr>
            <w:rStyle w:val="Hyperlink"/>
          </w:rPr>
          <w:t xml:space="preserve">Terrorism Act 2000 </w:t>
        </w:r>
      </w:hyperlink>
      <w:r>
        <w:t xml:space="preserve">to </w:t>
      </w:r>
      <w:r w:rsidR="00434D34">
        <w:t>report</w:t>
      </w:r>
      <w:r>
        <w:t xml:space="preserve"> information that comes to them in the course of their business if they know, or suspect or have reasonable grounds for knowing or suspecting, that a person is engaged in, or attempting, money laundering or terrorist financing. </w:t>
      </w:r>
      <w:r w:rsidR="00193F38">
        <w:t xml:space="preserve">The concerns should be reported </w:t>
      </w:r>
      <w:r w:rsidR="007E20B9">
        <w:t>to their MLRO</w:t>
      </w:r>
      <w:r w:rsidR="00332E70">
        <w:t xml:space="preserve">, otherwise known as an </w:t>
      </w:r>
      <w:r w:rsidR="00332E70" w:rsidRPr="00332E70">
        <w:rPr>
          <w:b/>
          <w:bCs/>
        </w:rPr>
        <w:t>internal SAR</w:t>
      </w:r>
      <w:r w:rsidR="00741FCC">
        <w:rPr>
          <w:b/>
          <w:bCs/>
        </w:rPr>
        <w:t xml:space="preserve"> </w:t>
      </w:r>
      <w:r w:rsidR="00741FCC" w:rsidRPr="00741FCC">
        <w:t>or internal report</w:t>
      </w:r>
      <w:r w:rsidR="00332E70" w:rsidRPr="00741FCC">
        <w:t>.</w:t>
      </w:r>
    </w:p>
    <w:p w14:paraId="7160F488" w14:textId="10BAC9A2" w:rsidR="00EF6223" w:rsidRDefault="0066029D" w:rsidP="00E86B72">
      <w:pPr>
        <w:pStyle w:val="ICASBody"/>
      </w:pPr>
      <w:r>
        <w:t xml:space="preserve">It is then an offence under </w:t>
      </w:r>
      <w:r w:rsidR="002D0C57">
        <w:t>s.331</w:t>
      </w:r>
      <w:r w:rsidR="00B94C99">
        <w:t xml:space="preserve"> of </w:t>
      </w:r>
      <w:hyperlink r:id="rId14">
        <w:r w:rsidR="00B94C99" w:rsidRPr="3EA81C5A">
          <w:rPr>
            <w:rStyle w:val="Hyperlink"/>
          </w:rPr>
          <w:t>Part 7 of the Proceeds of Crime Act 2002 (POCA)</w:t>
        </w:r>
      </w:hyperlink>
      <w:r w:rsidR="002D0C57">
        <w:t xml:space="preserve"> </w:t>
      </w:r>
      <w:r w:rsidR="0058256E">
        <w:t>if the MLRO</w:t>
      </w:r>
      <w:r w:rsidR="00B12237">
        <w:t xml:space="preserve"> does not </w:t>
      </w:r>
      <w:r w:rsidR="00B5451F">
        <w:t xml:space="preserve">subsequently </w:t>
      </w:r>
      <w:r w:rsidR="00B12237">
        <w:t xml:space="preserve">make the required disclosure to </w:t>
      </w:r>
      <w:r w:rsidR="00933098">
        <w:t>the NCA as soon as is prac</w:t>
      </w:r>
      <w:r w:rsidR="004017FB">
        <w:t xml:space="preserve">ticable after the information </w:t>
      </w:r>
      <w:r w:rsidR="00B94C99">
        <w:t xml:space="preserve">is </w:t>
      </w:r>
      <w:r w:rsidR="00510F3B">
        <w:t xml:space="preserve">supplied, provided that </w:t>
      </w:r>
      <w:r w:rsidR="00AB5EEF">
        <w:t xml:space="preserve">they are satisfied </w:t>
      </w:r>
      <w:r w:rsidR="00AA2D28">
        <w:t xml:space="preserve">there is enough grounds for making </w:t>
      </w:r>
      <w:r w:rsidR="00AD6065">
        <w:t xml:space="preserve">an </w:t>
      </w:r>
      <w:r w:rsidR="00AD6065" w:rsidRPr="00AD6065">
        <w:rPr>
          <w:b/>
          <w:bCs/>
        </w:rPr>
        <w:t>external SAR</w:t>
      </w:r>
      <w:r w:rsidR="00AD6065">
        <w:t xml:space="preserve">. </w:t>
      </w:r>
      <w:r w:rsidR="00B94C99">
        <w:t xml:space="preserve"> </w:t>
      </w:r>
      <w:r w:rsidR="00396190">
        <w:t xml:space="preserve"> </w:t>
      </w:r>
    </w:p>
    <w:p w14:paraId="07597574" w14:textId="2F5BCC45" w:rsidR="0087301B" w:rsidRDefault="00117B9C" w:rsidP="00E86B72">
      <w:pPr>
        <w:pStyle w:val="Heading3"/>
      </w:pPr>
      <w:r w:rsidRPr="0087301B">
        <w:t>What is a SAR</w:t>
      </w:r>
      <w:r w:rsidR="0087301B">
        <w:t>?</w:t>
      </w:r>
    </w:p>
    <w:p w14:paraId="3E1C6E51" w14:textId="77777777" w:rsidR="008B0B0A" w:rsidRDefault="008B0B0A" w:rsidP="00E830DC">
      <w:pPr>
        <w:pStyle w:val="ICASBody"/>
      </w:pPr>
      <w:r>
        <w:t xml:space="preserve">If an individual suspects that money laundering may be taking place, they are legally obliged under the 2017 UK Money Laundering Regulations to submit an </w:t>
      </w:r>
      <w:r w:rsidRPr="00711DC4">
        <w:t>internal SAR</w:t>
      </w:r>
      <w:r>
        <w:t xml:space="preserve">, which will then be passed on to their MLRO who can subsequently make an external SAR to the NCA. </w:t>
      </w:r>
    </w:p>
    <w:p w14:paraId="47B3E581" w14:textId="15C6D896" w:rsidR="00A524E5" w:rsidRDefault="00A67E03" w:rsidP="00E830DC">
      <w:pPr>
        <w:pStyle w:val="ICASBody"/>
      </w:pPr>
      <w:r>
        <w:t xml:space="preserve">External </w:t>
      </w:r>
      <w:r w:rsidR="003523BC">
        <w:t xml:space="preserve">SARs are disclosures to UK law enforcement concerning </w:t>
      </w:r>
      <w:r w:rsidR="00A600B5">
        <w:t>potential instances of money laundering or terrorist financing</w:t>
      </w:r>
      <w:r w:rsidR="00C66B2C">
        <w:t>. Reports are submitted to, and assessed by, the NCA</w:t>
      </w:r>
      <w:r w:rsidR="001F219D">
        <w:t>.</w:t>
      </w:r>
      <w:r w:rsidR="00F23591">
        <w:t xml:space="preserve"> </w:t>
      </w:r>
      <w:r w:rsidR="0018106F">
        <w:t xml:space="preserve">External </w:t>
      </w:r>
      <w:r w:rsidR="00F23591">
        <w:t>SARs provide information and intelligence from the private sector that would otherwise not be visible to</w:t>
      </w:r>
      <w:r w:rsidR="00987B86">
        <w:t xml:space="preserve"> </w:t>
      </w:r>
      <w:r w:rsidR="00F23591">
        <w:t>law enforcement</w:t>
      </w:r>
      <w:r w:rsidR="00D3359D">
        <w:t xml:space="preserve">. They are a critical intelligence resource </w:t>
      </w:r>
      <w:r w:rsidR="006A3CAA">
        <w:t xml:space="preserve">as they contain </w:t>
      </w:r>
      <w:r w:rsidR="006E2AFD">
        <w:t xml:space="preserve">personal details that can assist in an enquiry and provide immediate </w:t>
      </w:r>
      <w:r w:rsidR="0086215E">
        <w:t>opportunities to stop crime</w:t>
      </w:r>
      <w:r w:rsidR="00A316B0">
        <w:t>, locate individuals</w:t>
      </w:r>
      <w:r w:rsidR="0086215E">
        <w:t xml:space="preserve"> and help safeguard </w:t>
      </w:r>
      <w:r w:rsidR="00A316B0">
        <w:t xml:space="preserve">vulnerable members of society. </w:t>
      </w:r>
    </w:p>
    <w:p w14:paraId="4A249751" w14:textId="55DF4712" w:rsidR="00B75A35" w:rsidRDefault="00C81210" w:rsidP="00E830DC">
      <w:pPr>
        <w:pStyle w:val="ICASBody"/>
      </w:pPr>
      <w:r>
        <w:t xml:space="preserve">A </w:t>
      </w:r>
      <w:r w:rsidR="000B2C02">
        <w:t>high-quality</w:t>
      </w:r>
      <w:r w:rsidR="00FA14B4">
        <w:t xml:space="preserve"> </w:t>
      </w:r>
      <w:r w:rsidR="00AB1CAB">
        <w:t>external</w:t>
      </w:r>
      <w:r>
        <w:t xml:space="preserve"> SAR c</w:t>
      </w:r>
      <w:r w:rsidR="004F431E">
        <w:t xml:space="preserve">ould be the missing piece of </w:t>
      </w:r>
      <w:r w:rsidR="00810714">
        <w:t>a larger</w:t>
      </w:r>
      <w:r w:rsidR="004F431E">
        <w:t xml:space="preserve"> puzzle which leads to the solving of a crime</w:t>
      </w:r>
      <w:r w:rsidR="00C37330">
        <w:t xml:space="preserve"> that will help to prevent a wide range of serious and organised crime</w:t>
      </w:r>
      <w:r w:rsidR="00361ECB">
        <w:t>s</w:t>
      </w:r>
      <w:r w:rsidR="00C37330">
        <w:t xml:space="preserve">. </w:t>
      </w:r>
      <w:r w:rsidR="005642F5">
        <w:t>Multiple SARs often feed into one investigation</w:t>
      </w:r>
      <w:r w:rsidR="00361ECB">
        <w:t>,</w:t>
      </w:r>
      <w:r w:rsidR="00C11EE2">
        <w:t xml:space="preserve"> so although </w:t>
      </w:r>
      <w:r w:rsidR="008D359E">
        <w:t xml:space="preserve">an individual </w:t>
      </w:r>
      <w:r w:rsidR="00C11EE2">
        <w:t xml:space="preserve">might consider </w:t>
      </w:r>
      <w:r w:rsidR="008D359E">
        <w:t xml:space="preserve">their </w:t>
      </w:r>
      <w:r w:rsidR="00C11EE2">
        <w:t xml:space="preserve">report to be of little importance, it could </w:t>
      </w:r>
      <w:r w:rsidR="00810714">
        <w:t xml:space="preserve">join the dots </w:t>
      </w:r>
      <w:r w:rsidR="003268A9">
        <w:t xml:space="preserve">and provide key intelligence that unlocks a case. </w:t>
      </w:r>
    </w:p>
    <w:p w14:paraId="58E7A1E0" w14:textId="77777777" w:rsidR="00871DDF" w:rsidRDefault="00871DDF" w:rsidP="00E830DC">
      <w:pPr>
        <w:pStyle w:val="ICASBody"/>
      </w:pPr>
    </w:p>
    <w:p w14:paraId="11BC384F" w14:textId="30F24256" w:rsidR="006F1834" w:rsidRDefault="006F1834" w:rsidP="00E830DC">
      <w:pPr>
        <w:pStyle w:val="ICASBody"/>
      </w:pPr>
      <w:r>
        <w:lastRenderedPageBreak/>
        <w:t xml:space="preserve">There are two types of </w:t>
      </w:r>
      <w:r w:rsidR="00AB1CAB">
        <w:t xml:space="preserve">external </w:t>
      </w:r>
      <w:r>
        <w:t xml:space="preserve">SAR: </w:t>
      </w:r>
    </w:p>
    <w:p w14:paraId="62AEE649" w14:textId="522ED3DA" w:rsidR="006F1834" w:rsidRDefault="006F1834" w:rsidP="00E830DC">
      <w:pPr>
        <w:pStyle w:val="ICASBody"/>
        <w:numPr>
          <w:ilvl w:val="0"/>
          <w:numId w:val="25"/>
        </w:numPr>
      </w:pPr>
      <w:r>
        <w:t xml:space="preserve">A general SAR must be submitted where </w:t>
      </w:r>
      <w:r w:rsidR="00DB3E90">
        <w:t xml:space="preserve">an individual </w:t>
      </w:r>
      <w:r>
        <w:t>know</w:t>
      </w:r>
      <w:r w:rsidR="00DB3E90">
        <w:t>s</w:t>
      </w:r>
      <w:r>
        <w:t xml:space="preserve"> there ha</w:t>
      </w:r>
      <w:r w:rsidR="00095F16">
        <w:t>s</w:t>
      </w:r>
      <w:r>
        <w:t xml:space="preserve"> </w:t>
      </w:r>
      <w:r w:rsidR="00A30B7C">
        <w:t>been</w:t>
      </w:r>
      <w:r w:rsidR="003F1EFE">
        <w:t>,</w:t>
      </w:r>
      <w:r w:rsidR="00A30B7C">
        <w:t xml:space="preserve"> or</w:t>
      </w:r>
      <w:r>
        <w:t xml:space="preserve"> ha</w:t>
      </w:r>
      <w:r w:rsidR="00DB3E90">
        <w:t>s</w:t>
      </w:r>
      <w:r>
        <w:t xml:space="preserve"> reasonable grounds to suspect</w:t>
      </w:r>
      <w:r w:rsidR="003F1EFE">
        <w:t>,</w:t>
      </w:r>
      <w:r>
        <w:t xml:space="preserve"> money laundering. </w:t>
      </w:r>
    </w:p>
    <w:p w14:paraId="448B17B6" w14:textId="691F0B1B" w:rsidR="006F1834" w:rsidRPr="006F1834" w:rsidRDefault="00095F16" w:rsidP="00E830DC">
      <w:pPr>
        <w:pStyle w:val="ICASBody"/>
        <w:numPr>
          <w:ilvl w:val="0"/>
          <w:numId w:val="25"/>
        </w:numPr>
      </w:pPr>
      <w:r w:rsidRPr="362B66DE">
        <w:t xml:space="preserve">A Defence Against Money Laundering (DAML) </w:t>
      </w:r>
      <w:r w:rsidR="00512770" w:rsidRPr="362B66DE">
        <w:t xml:space="preserve">SAR should be </w:t>
      </w:r>
      <w:r w:rsidR="00A30B7C" w:rsidRPr="362B66DE">
        <w:t>submitted in the same circumstances as above</w:t>
      </w:r>
      <w:r w:rsidR="00817A9F" w:rsidRPr="362B66DE">
        <w:t>,</w:t>
      </w:r>
      <w:r w:rsidR="00A30B7C" w:rsidRPr="362B66DE">
        <w:t xml:space="preserve"> but where </w:t>
      </w:r>
      <w:r w:rsidR="00D2047F" w:rsidRPr="362B66DE">
        <w:t xml:space="preserve">there is a need to </w:t>
      </w:r>
      <w:r w:rsidR="00A30B7C" w:rsidRPr="362B66DE">
        <w:t>complete an action which may amount to a money laundering offence</w:t>
      </w:r>
      <w:r w:rsidR="00CA619C" w:rsidRPr="362B66DE">
        <w:t>. A common example is wher</w:t>
      </w:r>
      <w:r w:rsidR="00624DE9" w:rsidRPr="362B66DE">
        <w:t>e client funds</w:t>
      </w:r>
      <w:r w:rsidR="000876CE" w:rsidRPr="362B66DE">
        <w:t xml:space="preserve"> may already have been accepted</w:t>
      </w:r>
      <w:r w:rsidR="00817A9F" w:rsidRPr="362B66DE">
        <w:t xml:space="preserve"> into a client account</w:t>
      </w:r>
      <w:r w:rsidR="00EC288E" w:rsidRPr="362B66DE">
        <w:t xml:space="preserve">, but </w:t>
      </w:r>
      <w:r w:rsidR="00624DE9" w:rsidRPr="362B66DE">
        <w:t>the</w:t>
      </w:r>
      <w:r w:rsidR="00817A9F" w:rsidRPr="362B66DE">
        <w:t>re is then a</w:t>
      </w:r>
      <w:r w:rsidR="00823B14" w:rsidRPr="362B66DE">
        <w:t xml:space="preserve"> need to transfer the funds </w:t>
      </w:r>
      <w:r w:rsidR="00B4201A" w:rsidRPr="362B66DE">
        <w:t>to another party</w:t>
      </w:r>
      <w:r w:rsidR="00924D5A" w:rsidRPr="362B66DE">
        <w:t xml:space="preserve">. </w:t>
      </w:r>
      <w:r w:rsidR="00EC288E" w:rsidRPr="362B66DE">
        <w:t xml:space="preserve">If the funds are criminal property, </w:t>
      </w:r>
      <w:r w:rsidR="00717FF0" w:rsidRPr="362B66DE">
        <w:t xml:space="preserve">making any </w:t>
      </w:r>
      <w:r w:rsidR="00144B6A" w:rsidRPr="362B66DE">
        <w:t xml:space="preserve">transfer </w:t>
      </w:r>
      <w:r w:rsidR="00817A9F" w:rsidRPr="362B66DE">
        <w:t>(</w:t>
      </w:r>
      <w:r w:rsidR="00717FF0" w:rsidRPr="362B66DE">
        <w:t xml:space="preserve">including </w:t>
      </w:r>
      <w:r w:rsidR="00EC288E" w:rsidRPr="362B66DE">
        <w:t>transferring them back to the client</w:t>
      </w:r>
      <w:r w:rsidR="00817A9F" w:rsidRPr="362B66DE">
        <w:t>)</w:t>
      </w:r>
      <w:r w:rsidR="00EC288E" w:rsidRPr="362B66DE">
        <w:t xml:space="preserve"> may amount to a money laundering offence. </w:t>
      </w:r>
      <w:r w:rsidR="00D40A50" w:rsidRPr="362B66DE">
        <w:t xml:space="preserve">Submitting a DAML SAR effectively gives </w:t>
      </w:r>
      <w:r w:rsidR="4E796839" w:rsidRPr="362B66DE">
        <w:t xml:space="preserve">a defence against </w:t>
      </w:r>
      <w:r w:rsidR="00D40A50" w:rsidRPr="362B66DE">
        <w:t xml:space="preserve">prosecution for </w:t>
      </w:r>
      <w:r w:rsidR="57E5730C" w:rsidRPr="3DCFFDAD">
        <w:t xml:space="preserve">certain </w:t>
      </w:r>
      <w:r w:rsidR="00D40A50" w:rsidRPr="362B66DE">
        <w:t xml:space="preserve">money laundering </w:t>
      </w:r>
      <w:r w:rsidR="62C2EEB0" w:rsidRPr="3DCFFDAD">
        <w:t xml:space="preserve">offences </w:t>
      </w:r>
      <w:r w:rsidR="00D40A50" w:rsidRPr="362B66DE">
        <w:t>to the reporter, provided the DAML is not refused by the NCA.</w:t>
      </w:r>
    </w:p>
    <w:p w14:paraId="1A015802" w14:textId="523E322B" w:rsidR="003F626C" w:rsidRDefault="003F626C" w:rsidP="006408BE">
      <w:pPr>
        <w:pStyle w:val="Heading3"/>
      </w:pPr>
      <w:r>
        <w:t xml:space="preserve">When </w:t>
      </w:r>
      <w:r w:rsidR="005778C0">
        <w:t>is a</w:t>
      </w:r>
      <w:r w:rsidR="003F2D8C">
        <w:t>n internal</w:t>
      </w:r>
      <w:r w:rsidR="005778C0">
        <w:t xml:space="preserve"> SAR required? </w:t>
      </w:r>
    </w:p>
    <w:p w14:paraId="0FCC9183" w14:textId="5A77F6E7" w:rsidR="00D60B80" w:rsidRDefault="002D74A1" w:rsidP="006408BE">
      <w:pPr>
        <w:pStyle w:val="ICASBody"/>
      </w:pPr>
      <w:r>
        <w:t xml:space="preserve">As soon as </w:t>
      </w:r>
      <w:r w:rsidR="00330EEA">
        <w:t xml:space="preserve">an individual </w:t>
      </w:r>
      <w:r>
        <w:t>know</w:t>
      </w:r>
      <w:r w:rsidR="00330EEA">
        <w:t>s</w:t>
      </w:r>
      <w:r>
        <w:t xml:space="preserve"> or suspect</w:t>
      </w:r>
      <w:r w:rsidR="00330EEA">
        <w:t>s</w:t>
      </w:r>
      <w:r w:rsidR="00585BDC">
        <w:t>, in the course of their work,</w:t>
      </w:r>
      <w:r>
        <w:t xml:space="preserve"> tha</w:t>
      </w:r>
      <w:r w:rsidR="007F641A">
        <w:t>t a person/client is engaged in money laundering or dealing with criminal property then a</w:t>
      </w:r>
      <w:r w:rsidR="00795205">
        <w:t xml:space="preserve">n </w:t>
      </w:r>
      <w:r w:rsidR="00795205" w:rsidRPr="001B1C46">
        <w:t>internal</w:t>
      </w:r>
      <w:r w:rsidR="007F641A" w:rsidRPr="001B1C46">
        <w:t xml:space="preserve"> SAR</w:t>
      </w:r>
      <w:r w:rsidR="005F783B">
        <w:t xml:space="preserve"> must be submitted</w:t>
      </w:r>
      <w:r w:rsidR="007F641A">
        <w:t xml:space="preserve">. </w:t>
      </w:r>
      <w:hyperlink r:id="rId15" w:history="1">
        <w:r w:rsidR="00D60B80" w:rsidRPr="00EA598A">
          <w:rPr>
            <w:rStyle w:val="Hyperlink"/>
          </w:rPr>
          <w:t>Section 6 of the CCAB Anti-money laundering guidance for the accountancy sector</w:t>
        </w:r>
      </w:hyperlink>
      <w:r w:rsidR="00D60B80">
        <w:t xml:space="preserve"> provides further guidance</w:t>
      </w:r>
      <w:r w:rsidR="000C769D">
        <w:t xml:space="preserve"> and clarificatio</w:t>
      </w:r>
      <w:r w:rsidR="00446D6B">
        <w:t>n</w:t>
      </w:r>
      <w:r w:rsidR="00714F90">
        <w:t xml:space="preserve"> on the definitions of ‘crime’, ‘suspicion’ and ‘proceeds/criminal property’</w:t>
      </w:r>
      <w:r w:rsidR="00446D6B">
        <w:t>.</w:t>
      </w:r>
      <w:r w:rsidR="00EA5F65">
        <w:t xml:space="preserve"> Once a suspicion is forme</w:t>
      </w:r>
      <w:r w:rsidR="006B1DA9">
        <w:t xml:space="preserve">d, it is good practice to </w:t>
      </w:r>
      <w:r w:rsidR="00693405">
        <w:t xml:space="preserve">document </w:t>
      </w:r>
      <w:r w:rsidR="00F51C5E">
        <w:t>the reasons for forming that opinion</w:t>
      </w:r>
      <w:r w:rsidR="00693405">
        <w:t xml:space="preserve">. </w:t>
      </w:r>
    </w:p>
    <w:p w14:paraId="6F896A2A" w14:textId="09600FA3" w:rsidR="006B1DA9" w:rsidRDefault="007A2ABE" w:rsidP="006408BE">
      <w:pPr>
        <w:pStyle w:val="ICASBody"/>
      </w:pPr>
      <w:r>
        <w:t xml:space="preserve">All firms should have internal reporting procedures that enable relevant employees to disclose their knowledge or suspicion </w:t>
      </w:r>
      <w:r w:rsidR="0039787D">
        <w:t>to the firm</w:t>
      </w:r>
      <w:r w:rsidR="00492230">
        <w:t xml:space="preserve">s </w:t>
      </w:r>
      <w:r w:rsidR="0039787D">
        <w:t xml:space="preserve">MLRO. </w:t>
      </w:r>
      <w:r w:rsidR="00B91252">
        <w:t xml:space="preserve">The MLRO has a duty to </w:t>
      </w:r>
      <w:r w:rsidR="005778C0">
        <w:t xml:space="preserve">consider </w:t>
      </w:r>
      <w:r w:rsidR="001871DF">
        <w:t xml:space="preserve">the </w:t>
      </w:r>
      <w:r w:rsidR="001871DF" w:rsidRPr="001B1C46">
        <w:t>internal SAR</w:t>
      </w:r>
      <w:r w:rsidR="00064001">
        <w:t xml:space="preserve"> and decide whether a</w:t>
      </w:r>
      <w:r w:rsidR="00100569">
        <w:t xml:space="preserve">n </w:t>
      </w:r>
      <w:r w:rsidR="00100569" w:rsidRPr="001B1C46">
        <w:t xml:space="preserve">external </w:t>
      </w:r>
      <w:r w:rsidR="00064001" w:rsidRPr="001B1C46">
        <w:t>SAR</w:t>
      </w:r>
      <w:r w:rsidR="00064001">
        <w:t xml:space="preserve"> </w:t>
      </w:r>
      <w:r w:rsidR="002841B1">
        <w:t xml:space="preserve">will </w:t>
      </w:r>
      <w:r w:rsidR="00064001">
        <w:t xml:space="preserve">be made to the NCA. </w:t>
      </w:r>
      <w:r w:rsidR="003615A8">
        <w:t>Only the MLRO should report to the NCA</w:t>
      </w:r>
      <w:r w:rsidR="00927151">
        <w:t>,</w:t>
      </w:r>
      <w:r w:rsidR="00AC5D6C">
        <w:t xml:space="preserve"> and they are not re</w:t>
      </w:r>
      <w:r w:rsidR="00E11B35">
        <w:t xml:space="preserve">quired to tell the reporter whether an external report was made or not. </w:t>
      </w:r>
    </w:p>
    <w:p w14:paraId="4B1C335D" w14:textId="454482E8" w:rsidR="003F626C" w:rsidRDefault="00251FA0" w:rsidP="006408BE">
      <w:pPr>
        <w:pStyle w:val="ICASBody"/>
      </w:pPr>
      <w:r>
        <w:t xml:space="preserve">It is important to note that </w:t>
      </w:r>
      <w:r w:rsidR="00971CAE">
        <w:t>a</w:t>
      </w:r>
      <w:r>
        <w:t xml:space="preserve"> firm’s policy might require a report to be made internally to their MLRO </w:t>
      </w:r>
      <w:r w:rsidR="00654C58">
        <w:t>in wider circumstan</w:t>
      </w:r>
      <w:r w:rsidR="00654C58" w:rsidRPr="00654C58">
        <w:t>ces that go beyond the requirements of POCA</w:t>
      </w:r>
      <w:r w:rsidR="00927151">
        <w:t>,</w:t>
      </w:r>
      <w:r w:rsidR="003C5374">
        <w:t xml:space="preserve"> and therefore </w:t>
      </w:r>
      <w:r w:rsidR="00CE23E7">
        <w:t xml:space="preserve">employees within firms </w:t>
      </w:r>
      <w:r w:rsidR="00A966A4">
        <w:t xml:space="preserve">should familiarise </w:t>
      </w:r>
      <w:r w:rsidR="00CE23E7">
        <w:t xml:space="preserve">themselves </w:t>
      </w:r>
      <w:r w:rsidR="00A966A4">
        <w:t>with the</w:t>
      </w:r>
      <w:r w:rsidR="002D2B19">
        <w:t>ir firm</w:t>
      </w:r>
      <w:r w:rsidR="00124756">
        <w:t>’</w:t>
      </w:r>
      <w:r w:rsidR="002D2B19">
        <w:t>s</w:t>
      </w:r>
      <w:r w:rsidR="00BF6AD5">
        <w:t xml:space="preserve"> specific</w:t>
      </w:r>
      <w:r w:rsidR="00A966A4">
        <w:t xml:space="preserve"> policies. </w:t>
      </w:r>
    </w:p>
    <w:p w14:paraId="7B438D45" w14:textId="0F89D669" w:rsidR="001A0D4C" w:rsidRDefault="001A0D4C" w:rsidP="006408BE">
      <w:pPr>
        <w:pStyle w:val="ICASBody"/>
      </w:pPr>
      <w:r>
        <w:t xml:space="preserve">If </w:t>
      </w:r>
      <w:r w:rsidR="00352DAB">
        <w:t>there is uncertainty over</w:t>
      </w:r>
      <w:r w:rsidR="00CF0E38">
        <w:t xml:space="preserve"> whether an internal SAR is required</w:t>
      </w:r>
      <w:r>
        <w:t xml:space="preserve">, </w:t>
      </w:r>
      <w:r w:rsidR="00DA6482">
        <w:t xml:space="preserve">the </w:t>
      </w:r>
      <w:r w:rsidR="00DA6482" w:rsidRPr="79232228">
        <w:t>firm</w:t>
      </w:r>
      <w:r w:rsidR="5EA11D0F" w:rsidRPr="79232228">
        <w:t>’</w:t>
      </w:r>
      <w:r w:rsidR="00DA6482" w:rsidRPr="79232228">
        <w:t>s</w:t>
      </w:r>
      <w:r w:rsidR="00DA6482">
        <w:t xml:space="preserve"> AML policy </w:t>
      </w:r>
      <w:r w:rsidR="00B27B8C">
        <w:t>should</w:t>
      </w:r>
      <w:r w:rsidR="00DA6482">
        <w:t xml:space="preserve"> identify </w:t>
      </w:r>
      <w:r w:rsidR="00B92614">
        <w:t>where further guidance and assistance can be sought from. I</w:t>
      </w:r>
      <w:r w:rsidR="00893A04">
        <w:t>f</w:t>
      </w:r>
      <w:r w:rsidR="00B92614">
        <w:t xml:space="preserve"> </w:t>
      </w:r>
      <w:r w:rsidR="00893A04">
        <w:t>further guidance is required</w:t>
      </w:r>
      <w:r w:rsidR="00B92614">
        <w:t>,</w:t>
      </w:r>
      <w:r w:rsidR="0085134D">
        <w:t xml:space="preserve"> the</w:t>
      </w:r>
      <w:r w:rsidR="00B92614">
        <w:t xml:space="preserve"> </w:t>
      </w:r>
      <w:r w:rsidR="00E41FD2">
        <w:t>ICAS</w:t>
      </w:r>
      <w:r w:rsidR="0085134D">
        <w:t xml:space="preserve"> Practice Support </w:t>
      </w:r>
      <w:r w:rsidR="004F2F8A">
        <w:t xml:space="preserve">team </w:t>
      </w:r>
      <w:r w:rsidR="0085134D">
        <w:t>can be contact</w:t>
      </w:r>
      <w:r w:rsidR="004F2F8A">
        <w:t>ed for a confidential discussion</w:t>
      </w:r>
      <w:r w:rsidR="0085134D">
        <w:t xml:space="preserve"> via </w:t>
      </w:r>
      <w:r w:rsidR="003F1443" w:rsidRPr="34FD072D">
        <w:t xml:space="preserve">the </w:t>
      </w:r>
      <w:hyperlink r:id="rId16">
        <w:r w:rsidR="003F1443" w:rsidRPr="006408BE">
          <w:rPr>
            <w:rStyle w:val="Hyperlink"/>
          </w:rPr>
          <w:t>ICAS Technical helpdesk</w:t>
        </w:r>
      </w:hyperlink>
      <w:r w:rsidR="003F1443" w:rsidRPr="14B209B4">
        <w:t>.</w:t>
      </w:r>
    </w:p>
    <w:p w14:paraId="5F42615D" w14:textId="3DA50E27" w:rsidR="00A834BD" w:rsidRDefault="00026A2B" w:rsidP="006408BE">
      <w:pPr>
        <w:pStyle w:val="Heading3"/>
      </w:pPr>
      <w:r w:rsidRPr="00026A2B">
        <w:t>Guidance on submitting a quality internal SAR</w:t>
      </w:r>
    </w:p>
    <w:p w14:paraId="67BF4E19" w14:textId="5A7E0274" w:rsidR="00026A2B" w:rsidRDefault="007F49C7" w:rsidP="006408BE">
      <w:pPr>
        <w:pStyle w:val="ICASBody"/>
      </w:pPr>
      <w:r>
        <w:t>It is vital that the internal SAR submitted to the MLRO</w:t>
      </w:r>
      <w:r w:rsidR="001F75DA">
        <w:t xml:space="preserve"> </w:t>
      </w:r>
      <w:r w:rsidR="00A960CD">
        <w:t>is</w:t>
      </w:r>
      <w:r w:rsidR="00C94CAF">
        <w:t xml:space="preserve"> </w:t>
      </w:r>
      <w:r w:rsidR="00662B68">
        <w:t>detailed</w:t>
      </w:r>
      <w:r w:rsidR="00255800">
        <w:t xml:space="preserve"> enough to allow the MLRO to understand</w:t>
      </w:r>
      <w:r w:rsidR="00EF2076">
        <w:t xml:space="preserve"> the </w:t>
      </w:r>
      <w:r w:rsidR="00D83C27">
        <w:t>nature of the suspicion</w:t>
      </w:r>
      <w:r w:rsidR="0092225D">
        <w:t>s</w:t>
      </w:r>
      <w:r w:rsidR="00927151">
        <w:t>,</w:t>
      </w:r>
      <w:r w:rsidR="0092225D">
        <w:t xml:space="preserve"> and to gather the information required for them to submit the external SAR if they </w:t>
      </w:r>
      <w:r w:rsidR="00EE5C90">
        <w:t xml:space="preserve">conclude </w:t>
      </w:r>
      <w:r w:rsidR="0092225D">
        <w:t>that this is appropriate.</w:t>
      </w:r>
    </w:p>
    <w:p w14:paraId="2D0E24D4" w14:textId="5498C365" w:rsidR="00C11295" w:rsidRDefault="009E316E" w:rsidP="006408BE">
      <w:pPr>
        <w:pStyle w:val="ICASBody"/>
      </w:pPr>
      <w:r>
        <w:t xml:space="preserve">The internal SAR should provide details of all </w:t>
      </w:r>
      <w:r w:rsidR="00D55CDD">
        <w:t xml:space="preserve">individuals or relevant parties </w:t>
      </w:r>
      <w:r w:rsidR="00372041">
        <w:t>identified</w:t>
      </w:r>
      <w:r w:rsidR="00234E6D">
        <w:t xml:space="preserve"> as well as p</w:t>
      </w:r>
      <w:r w:rsidRPr="009E316E">
        <w:t>rovid</w:t>
      </w:r>
      <w:r w:rsidR="00234E6D">
        <w:t>ing</w:t>
      </w:r>
      <w:r w:rsidRPr="009E316E">
        <w:t xml:space="preserve"> a summary of suspicion</w:t>
      </w:r>
      <w:r w:rsidR="004A056A">
        <w:t>s</w:t>
      </w:r>
      <w:r w:rsidRPr="009E316E">
        <w:t xml:space="preserve"> with events listed chronologically. </w:t>
      </w:r>
      <w:r w:rsidR="00754A29">
        <w:t>T</w:t>
      </w:r>
      <w:r w:rsidRPr="009E316E">
        <w:t xml:space="preserve">he content </w:t>
      </w:r>
      <w:r w:rsidR="00754A29">
        <w:t xml:space="preserve">of the report should be kept </w:t>
      </w:r>
      <w:r w:rsidRPr="009E316E">
        <w:t>clear, concise and simple</w:t>
      </w:r>
      <w:r w:rsidR="005D751E">
        <w:t xml:space="preserve">. </w:t>
      </w:r>
      <w:r w:rsidR="00970FBA">
        <w:t>One way to approach this is</w:t>
      </w:r>
      <w:r w:rsidR="00EA2D87">
        <w:t xml:space="preserve"> by</w:t>
      </w:r>
      <w:r w:rsidRPr="009E316E">
        <w:t xml:space="preserve"> following the ‘Who, What, Where, When, Why, </w:t>
      </w:r>
      <w:proofErr w:type="gramStart"/>
      <w:r w:rsidRPr="009E316E">
        <w:t>How</w:t>
      </w:r>
      <w:proofErr w:type="gramEnd"/>
      <w:r w:rsidRPr="009E316E">
        <w:t xml:space="preserve">’ method. </w:t>
      </w:r>
      <w:r w:rsidR="00F634B4">
        <w:t xml:space="preserve">It is important </w:t>
      </w:r>
      <w:r w:rsidRPr="009E316E">
        <w:t xml:space="preserve">to include key dates, description of property that is known, suspected, or believed to be criminal property, how the situation </w:t>
      </w:r>
      <w:r w:rsidR="0054098D">
        <w:t xml:space="preserve">was </w:t>
      </w:r>
      <w:r w:rsidR="00C7125E">
        <w:t>identified</w:t>
      </w:r>
      <w:r w:rsidR="007E09AF">
        <w:t>,</w:t>
      </w:r>
      <w:r w:rsidR="00C7125E">
        <w:t xml:space="preserve"> </w:t>
      </w:r>
      <w:r w:rsidRPr="009E316E">
        <w:t>and what led to suspicio</w:t>
      </w:r>
      <w:r w:rsidR="00C7125E">
        <w:t>n being raised</w:t>
      </w:r>
      <w:r w:rsidRPr="009E316E">
        <w:t xml:space="preserve">. </w:t>
      </w:r>
      <w:r w:rsidR="006314F3">
        <w:t xml:space="preserve">It is often useful to </w:t>
      </w:r>
      <w:r w:rsidR="00E17251">
        <w:t xml:space="preserve">consider </w:t>
      </w:r>
      <w:r w:rsidR="00BC67C5">
        <w:t xml:space="preserve">whether the </w:t>
      </w:r>
      <w:r w:rsidR="00663A72">
        <w:t xml:space="preserve">internal SAR </w:t>
      </w:r>
      <w:r w:rsidR="00BC67C5">
        <w:t xml:space="preserve">would </w:t>
      </w:r>
      <w:r w:rsidRPr="009E316E">
        <w:t xml:space="preserve">clearly explain </w:t>
      </w:r>
      <w:r w:rsidR="00BC67C5">
        <w:t xml:space="preserve">to a </w:t>
      </w:r>
      <w:r w:rsidRPr="009E316E">
        <w:t xml:space="preserve">third party </w:t>
      </w:r>
      <w:r w:rsidR="00BC67C5">
        <w:t>with no prior knowledge of the parties or</w:t>
      </w:r>
      <w:r w:rsidR="00A11BC6">
        <w:t xml:space="preserve"> the situation </w:t>
      </w:r>
      <w:r w:rsidR="00741FEE">
        <w:t xml:space="preserve">in </w:t>
      </w:r>
      <w:r w:rsidR="002B429A">
        <w:t xml:space="preserve">the </w:t>
      </w:r>
      <w:r w:rsidR="007E0C9A">
        <w:t xml:space="preserve">information </w:t>
      </w:r>
      <w:r w:rsidR="000C7C83">
        <w:t xml:space="preserve">in </w:t>
      </w:r>
      <w:r w:rsidR="00741FEE">
        <w:t xml:space="preserve">a manner which they would </w:t>
      </w:r>
      <w:r w:rsidRPr="009E316E">
        <w:t>understand.</w:t>
      </w:r>
    </w:p>
    <w:p w14:paraId="6A733668" w14:textId="4AD0CC47" w:rsidR="00084C5C" w:rsidRDefault="00856506" w:rsidP="006408BE">
      <w:pPr>
        <w:pStyle w:val="ICASBody"/>
      </w:pPr>
      <w:r>
        <w:t>It is unlikely that the internal SAR will provide all the information that the MLRO will need to consider</w:t>
      </w:r>
      <w:r w:rsidR="003E0AD2">
        <w:t xml:space="preserve"> or provide </w:t>
      </w:r>
      <w:r w:rsidR="00235F98">
        <w:t xml:space="preserve">within </w:t>
      </w:r>
      <w:r w:rsidR="003E0AD2">
        <w:t xml:space="preserve">an external SAR. It should however provide sufficient information for them to be able to understand the basic concerns and issues from which they will be able to </w:t>
      </w:r>
      <w:r w:rsidR="008F1149">
        <w:t xml:space="preserve">ask for more information and </w:t>
      </w:r>
      <w:r w:rsidR="003E0AD2">
        <w:t>make further enquiries if necessary</w:t>
      </w:r>
      <w:r w:rsidR="008F1149">
        <w:t xml:space="preserve">. </w:t>
      </w:r>
    </w:p>
    <w:p w14:paraId="1CB733B9" w14:textId="13A1E821" w:rsidR="00D265ED" w:rsidRDefault="00231ED2" w:rsidP="006408BE">
      <w:pPr>
        <w:pStyle w:val="ICASBody"/>
      </w:pPr>
      <w:r>
        <w:t xml:space="preserve">The ‘Guidance on submitting a quality external SAR’ </w:t>
      </w:r>
      <w:r w:rsidR="00432BCA">
        <w:t xml:space="preserve">section below </w:t>
      </w:r>
      <w:r w:rsidR="00671D0D">
        <w:t>provides</w:t>
      </w:r>
      <w:r w:rsidR="006A4DF9">
        <w:t xml:space="preserve"> </w:t>
      </w:r>
      <w:r w:rsidR="00310665">
        <w:t xml:space="preserve">information </w:t>
      </w:r>
      <w:r w:rsidR="00DB0F32">
        <w:t xml:space="preserve">that </w:t>
      </w:r>
      <w:r w:rsidR="00964EA3">
        <w:t>the MLRO will need to consider</w:t>
      </w:r>
      <w:r w:rsidR="00F310B0">
        <w:t xml:space="preserve"> or provide if submitting an external SAR</w:t>
      </w:r>
      <w:r w:rsidR="00890781">
        <w:t>,</w:t>
      </w:r>
      <w:r w:rsidR="00F310B0">
        <w:t xml:space="preserve"> and therefore it </w:t>
      </w:r>
      <w:r w:rsidR="00E42C3D">
        <w:t>w</w:t>
      </w:r>
      <w:r w:rsidR="00CE37F9">
        <w:t xml:space="preserve">ill be of </w:t>
      </w:r>
      <w:r w:rsidR="00C85BE7">
        <w:t>benefit for these matters to also be considered alongside the internal SAR.</w:t>
      </w:r>
    </w:p>
    <w:p w14:paraId="41C87877" w14:textId="4EDA6F84" w:rsidR="001414DD" w:rsidRPr="00026A2B" w:rsidRDefault="00F74BBE" w:rsidP="006408BE">
      <w:pPr>
        <w:pStyle w:val="ICASBody"/>
      </w:pPr>
      <w:r w:rsidRPr="0049186D">
        <w:t>A</w:t>
      </w:r>
      <w:r w:rsidR="000B19BD" w:rsidRPr="0049186D">
        <w:t xml:space="preserve">n Internal SAR </w:t>
      </w:r>
      <w:r w:rsidR="007A1894" w:rsidRPr="0049186D">
        <w:t xml:space="preserve">Report template </w:t>
      </w:r>
      <w:hyperlink r:id="rId17" w:history="1">
        <w:r w:rsidR="00D27E22" w:rsidRPr="0049186D">
          <w:rPr>
            <w:rStyle w:val="Hyperlink"/>
          </w:rPr>
          <w:t>specimen document</w:t>
        </w:r>
      </w:hyperlink>
      <w:r w:rsidR="00D27E22" w:rsidRPr="0049186D">
        <w:t xml:space="preserve"> </w:t>
      </w:r>
      <w:r w:rsidR="0034658D" w:rsidRPr="0049186D">
        <w:t>is available to ensure a quality submission.</w:t>
      </w:r>
    </w:p>
    <w:p w14:paraId="36793A24" w14:textId="56AE8DA0" w:rsidR="00CB440F" w:rsidRPr="006408BE" w:rsidRDefault="00CA5BCD" w:rsidP="00871DDF">
      <w:pPr>
        <w:pStyle w:val="Heading2"/>
      </w:pPr>
      <w:r>
        <w:br w:type="page"/>
      </w:r>
      <w:r w:rsidR="00CB440F" w:rsidRPr="006408BE">
        <w:lastRenderedPageBreak/>
        <w:t>Submitting a</w:t>
      </w:r>
      <w:r w:rsidR="00CC1722" w:rsidRPr="006408BE">
        <w:t>n external SAR</w:t>
      </w:r>
      <w:r w:rsidR="00CB440F" w:rsidRPr="006408BE">
        <w:t xml:space="preserve"> </w:t>
      </w:r>
    </w:p>
    <w:p w14:paraId="78C3B4D5" w14:textId="25C52F22" w:rsidR="00283DA3" w:rsidRDefault="007B1852" w:rsidP="006408BE">
      <w:pPr>
        <w:pStyle w:val="ICASBody"/>
      </w:pPr>
      <w:r>
        <w:t>While it is the duty</w:t>
      </w:r>
      <w:r w:rsidR="00F62E3B">
        <w:t xml:space="preserve"> of all relevant employees of a firm to</w:t>
      </w:r>
      <w:r w:rsidR="00D27836">
        <w:t xml:space="preserve"> </w:t>
      </w:r>
      <w:r w:rsidR="00566736">
        <w:t>submit an</w:t>
      </w:r>
      <w:r w:rsidR="00483470" w:rsidRPr="00483470">
        <w:t xml:space="preserve"> internal </w:t>
      </w:r>
      <w:r w:rsidR="00566736">
        <w:t xml:space="preserve">SAR </w:t>
      </w:r>
      <w:r w:rsidR="00483470" w:rsidRPr="00483470">
        <w:t xml:space="preserve">to </w:t>
      </w:r>
      <w:r w:rsidR="00566736">
        <w:t xml:space="preserve">report </w:t>
      </w:r>
      <w:r w:rsidR="00483470" w:rsidRPr="00483470">
        <w:t xml:space="preserve">their knowledge or suspicion to the </w:t>
      </w:r>
      <w:r w:rsidR="00483470" w:rsidRPr="79232228">
        <w:t>firm</w:t>
      </w:r>
      <w:r w:rsidR="0A512A45" w:rsidRPr="79232228">
        <w:t>’</w:t>
      </w:r>
      <w:r w:rsidR="00483470" w:rsidRPr="79232228">
        <w:t>s</w:t>
      </w:r>
      <w:r w:rsidR="00483470" w:rsidRPr="00483470">
        <w:t xml:space="preserve"> MLRO</w:t>
      </w:r>
      <w:r w:rsidR="00DD469E">
        <w:t>, it is t</w:t>
      </w:r>
      <w:r w:rsidR="00483470" w:rsidRPr="00483470">
        <w:t xml:space="preserve">he MLRO </w:t>
      </w:r>
      <w:r w:rsidR="00DD469E">
        <w:t xml:space="preserve">alone who </w:t>
      </w:r>
      <w:r w:rsidR="00483470" w:rsidRPr="00483470">
        <w:t xml:space="preserve">has a duty to consider the internal SAR and decide whether an external SAR will be made to the NCA. Only the MLRO should report to the NCA and they are not required to tell the reporter whether an external </w:t>
      </w:r>
      <w:r w:rsidR="008F7241">
        <w:t xml:space="preserve">SAR </w:t>
      </w:r>
      <w:r w:rsidR="00483470" w:rsidRPr="00483470">
        <w:t xml:space="preserve">was made or not. </w:t>
      </w:r>
    </w:p>
    <w:p w14:paraId="4B45FE28" w14:textId="70CF1074" w:rsidR="00283DA3" w:rsidRDefault="00283DA3" w:rsidP="006408BE">
      <w:pPr>
        <w:pStyle w:val="ICASBody"/>
      </w:pPr>
      <w:r>
        <w:t xml:space="preserve">If </w:t>
      </w:r>
      <w:r w:rsidR="00633FB3">
        <w:t xml:space="preserve">a MLRO is </w:t>
      </w:r>
      <w:r>
        <w:t xml:space="preserve">unsure whether an external SAR is required, ICAS as </w:t>
      </w:r>
      <w:r w:rsidR="00F557FC">
        <w:t xml:space="preserve">the </w:t>
      </w:r>
      <w:r>
        <w:t xml:space="preserve">firm’s </w:t>
      </w:r>
      <w:r w:rsidRPr="00C273D0">
        <w:t>AML supervisor can</w:t>
      </w:r>
      <w:r>
        <w:t xml:space="preserve"> provide guidance. Please contact </w:t>
      </w:r>
      <w:r w:rsidRPr="34FD072D">
        <w:t>the</w:t>
      </w:r>
      <w:r w:rsidR="001A4869">
        <w:t xml:space="preserve"> Practice Support team via the</w:t>
      </w:r>
      <w:r w:rsidRPr="34FD072D">
        <w:t xml:space="preserve"> </w:t>
      </w:r>
      <w:hyperlink r:id="rId18">
        <w:r w:rsidRPr="006408BE">
          <w:rPr>
            <w:rStyle w:val="Hyperlink"/>
          </w:rPr>
          <w:t>ICAS Technical helpdesk</w:t>
        </w:r>
      </w:hyperlink>
      <w:r w:rsidRPr="14B209B4">
        <w:t>.</w:t>
      </w:r>
    </w:p>
    <w:p w14:paraId="324DC87C" w14:textId="37D97D96" w:rsidR="00A316B0" w:rsidRPr="009817FB" w:rsidRDefault="009817FB" w:rsidP="006408BE">
      <w:pPr>
        <w:pStyle w:val="Heading3"/>
      </w:pPr>
      <w:r w:rsidRPr="009817FB">
        <w:t xml:space="preserve">How </w:t>
      </w:r>
      <w:r w:rsidR="00655D99">
        <w:t>the MLRO should</w:t>
      </w:r>
      <w:r w:rsidRPr="009817FB">
        <w:t xml:space="preserve"> submit a</w:t>
      </w:r>
      <w:r w:rsidR="003E46BC">
        <w:t>n external</w:t>
      </w:r>
      <w:r w:rsidRPr="009817FB">
        <w:t xml:space="preserve"> SAR</w:t>
      </w:r>
    </w:p>
    <w:p w14:paraId="0B0FD7E1" w14:textId="6A0FFDDF" w:rsidR="007C5D06" w:rsidRDefault="004C6474" w:rsidP="006408BE">
      <w:pPr>
        <w:pStyle w:val="ICASBody"/>
      </w:pPr>
      <w:r>
        <w:t xml:space="preserve">External </w:t>
      </w:r>
      <w:r w:rsidR="00BB69DC">
        <w:t>SARs should only be submitted by the firm</w:t>
      </w:r>
      <w:r w:rsidR="00366C71">
        <w:t>’</w:t>
      </w:r>
      <w:r w:rsidR="00BB69DC">
        <w:t>s MLRO</w:t>
      </w:r>
      <w:r w:rsidR="00CE47FB">
        <w:t xml:space="preserve"> and </w:t>
      </w:r>
      <w:r w:rsidR="00893260">
        <w:t xml:space="preserve">should </w:t>
      </w:r>
      <w:r w:rsidR="000446AD">
        <w:t xml:space="preserve">be submitted </w:t>
      </w:r>
      <w:r w:rsidR="00893260">
        <w:t xml:space="preserve">online via the </w:t>
      </w:r>
      <w:hyperlink r:id="rId19" w:history="1">
        <w:r w:rsidR="00D10C23" w:rsidRPr="00764DF6">
          <w:rPr>
            <w:rStyle w:val="Hyperlink"/>
          </w:rPr>
          <w:t>NCA SAR portal</w:t>
        </w:r>
      </w:hyperlink>
      <w:r w:rsidR="00D10C23">
        <w:t>.</w:t>
      </w:r>
      <w:r w:rsidR="00913195">
        <w:t xml:space="preserve"> </w:t>
      </w:r>
      <w:r w:rsidR="00A16874">
        <w:t xml:space="preserve">Any ICAS AML supervised </w:t>
      </w:r>
      <w:r w:rsidR="00913195">
        <w:t>firm will need to register</w:t>
      </w:r>
      <w:r w:rsidR="00A16874">
        <w:t xml:space="preserve"> </w:t>
      </w:r>
      <w:r w:rsidR="00370837">
        <w:t>first but</w:t>
      </w:r>
      <w:r w:rsidR="007E24BE">
        <w:t xml:space="preserve"> will be able to submit SARs straight away. The online</w:t>
      </w:r>
      <w:r w:rsidR="003A448F">
        <w:t xml:space="preserve"> NCA</w:t>
      </w:r>
      <w:r w:rsidR="007E24BE">
        <w:t xml:space="preserve"> SAR </w:t>
      </w:r>
      <w:r w:rsidR="003A448F">
        <w:t>p</w:t>
      </w:r>
      <w:r w:rsidR="007E24BE">
        <w:t xml:space="preserve">ortal </w:t>
      </w:r>
      <w:r w:rsidR="0027284B">
        <w:t>is now the only route by which you should submit reports (</w:t>
      </w:r>
      <w:r w:rsidR="00E95053">
        <w:t>as of</w:t>
      </w:r>
      <w:r w:rsidR="0027284B">
        <w:t xml:space="preserve"> September 2023</w:t>
      </w:r>
      <w:r w:rsidR="003A448F">
        <w:t xml:space="preserve"> </w:t>
      </w:r>
      <w:r w:rsidR="00B1258C">
        <w:t>manual reporting is no longer permitted</w:t>
      </w:r>
      <w:r w:rsidR="0027284B">
        <w:t>).</w:t>
      </w:r>
      <w:r w:rsidR="00020B19">
        <w:t xml:space="preserve"> </w:t>
      </w:r>
      <w:r w:rsidR="007C5D06">
        <w:t xml:space="preserve"> </w:t>
      </w:r>
    </w:p>
    <w:p w14:paraId="47029B6B" w14:textId="5F5CB59C" w:rsidR="00117B9C" w:rsidRPr="0084189B" w:rsidRDefault="00F65EA8" w:rsidP="006408BE">
      <w:pPr>
        <w:pStyle w:val="Heading3"/>
      </w:pPr>
      <w:r w:rsidRPr="0084189B">
        <w:t xml:space="preserve">Guidance on </w:t>
      </w:r>
      <w:r w:rsidR="0084189B" w:rsidRPr="0084189B">
        <w:t xml:space="preserve">submitting a quality </w:t>
      </w:r>
      <w:r w:rsidR="005C69D7">
        <w:t xml:space="preserve">external </w:t>
      </w:r>
      <w:r w:rsidR="0084189B" w:rsidRPr="0084189B">
        <w:t>SAR</w:t>
      </w:r>
    </w:p>
    <w:p w14:paraId="73725351" w14:textId="326BB0B6" w:rsidR="00CE639A" w:rsidRDefault="00282C95" w:rsidP="006408BE">
      <w:pPr>
        <w:pStyle w:val="ICASBody"/>
      </w:pPr>
      <w:r>
        <w:t>A detailed and concise SAR</w:t>
      </w:r>
      <w:r w:rsidR="00B07136">
        <w:t xml:space="preserve"> assists the NCA in </w:t>
      </w:r>
      <w:r w:rsidR="00993FE3">
        <w:t>prioritising</w:t>
      </w:r>
      <w:r w:rsidR="00B81B94">
        <w:t xml:space="preserve"> and processing the repor</w:t>
      </w:r>
      <w:r w:rsidR="00547679">
        <w:t>t, ensuring they can act as quickly as possible</w:t>
      </w:r>
      <w:r w:rsidR="00204DC7">
        <w:t xml:space="preserve"> if they are able to identify a person of interest. </w:t>
      </w:r>
      <w:r w:rsidR="00D7482D">
        <w:t>Getting submission</w:t>
      </w:r>
      <w:r w:rsidR="00605B91">
        <w:t>s</w:t>
      </w:r>
      <w:r w:rsidR="00D7482D">
        <w:t xml:space="preserve"> right first time is crucial</w:t>
      </w:r>
      <w:r w:rsidR="00177329">
        <w:t>,</w:t>
      </w:r>
      <w:r w:rsidR="00D7482D">
        <w:t xml:space="preserve"> as </w:t>
      </w:r>
      <w:r w:rsidR="003266FB">
        <w:t xml:space="preserve">it will affect the decision or </w:t>
      </w:r>
      <w:r w:rsidR="00F51900">
        <w:t xml:space="preserve">the </w:t>
      </w:r>
      <w:r w:rsidR="003266FB">
        <w:t>ability to investigate</w:t>
      </w:r>
      <w:r w:rsidR="00177329">
        <w:t>,</w:t>
      </w:r>
      <w:r w:rsidR="003266FB">
        <w:t xml:space="preserve"> </w:t>
      </w:r>
      <w:r w:rsidR="00CE639A">
        <w:t xml:space="preserve">since any </w:t>
      </w:r>
      <w:r w:rsidR="00D7482D">
        <w:t xml:space="preserve">NCA officer assessing </w:t>
      </w:r>
      <w:r w:rsidR="00AC2E1B">
        <w:t xml:space="preserve">a </w:t>
      </w:r>
      <w:r w:rsidR="00D7482D">
        <w:t>SAR will not assume, infer</w:t>
      </w:r>
      <w:r w:rsidR="00177329">
        <w:t>,</w:t>
      </w:r>
      <w:r w:rsidR="00D7482D">
        <w:t xml:space="preserve"> or guess anything</w:t>
      </w:r>
      <w:r w:rsidR="00CE639A">
        <w:t xml:space="preserve">. </w:t>
      </w:r>
      <w:r w:rsidR="00AA054A">
        <w:t>It is best to include as much detail as possible as it could</w:t>
      </w:r>
      <w:r w:rsidR="00604E8F">
        <w:t xml:space="preserve"> prove to</w:t>
      </w:r>
      <w:r w:rsidR="00AA054A">
        <w:t xml:space="preserve"> be a valuable piece of information.</w:t>
      </w:r>
      <w:r w:rsidR="00A44D94">
        <w:t xml:space="preserve"> </w:t>
      </w:r>
      <w:r w:rsidR="00B15818">
        <w:t>Whilst detail is important, you should avoid duplication, speculation</w:t>
      </w:r>
      <w:r w:rsidR="00177329">
        <w:t>,</w:t>
      </w:r>
      <w:r w:rsidR="00B15818">
        <w:t xml:space="preserve"> and </w:t>
      </w:r>
      <w:r w:rsidR="002E1A25">
        <w:t>trivia</w:t>
      </w:r>
      <w:r w:rsidR="00B15818">
        <w:t>.</w:t>
      </w:r>
    </w:p>
    <w:p w14:paraId="55D75203" w14:textId="33D8244E" w:rsidR="00A62EA5" w:rsidRDefault="004A23A0" w:rsidP="006408BE">
      <w:pPr>
        <w:pStyle w:val="ICASBody"/>
      </w:pPr>
      <w:r>
        <w:t>Analysis by the NCA usually focuses on searches of keywords in the free text</w:t>
      </w:r>
      <w:r w:rsidR="00177329">
        <w:t>,</w:t>
      </w:r>
      <w:r>
        <w:t xml:space="preserve"> so this should be con</w:t>
      </w:r>
      <w:r w:rsidR="00391EC8">
        <w:t>s</w:t>
      </w:r>
      <w:r w:rsidR="00DD2CC7">
        <w:t xml:space="preserve">idered when </w:t>
      </w:r>
      <w:r w:rsidR="00391EC8">
        <w:t xml:space="preserve">formulating </w:t>
      </w:r>
      <w:r w:rsidR="008C3019">
        <w:t xml:space="preserve">a </w:t>
      </w:r>
      <w:r w:rsidR="00391EC8">
        <w:t>response. The data matching process relies on basic quality standards of information so the following should be noted</w:t>
      </w:r>
      <w:r w:rsidR="00A62EA5">
        <w:t>:</w:t>
      </w:r>
      <w:r w:rsidR="00C52507">
        <w:t xml:space="preserve"> </w:t>
      </w:r>
    </w:p>
    <w:p w14:paraId="700D7D16" w14:textId="06810E71" w:rsidR="00C52507" w:rsidRPr="00FD2825" w:rsidRDefault="00B40165" w:rsidP="0061620E">
      <w:pPr>
        <w:pStyle w:val="ICASBody"/>
        <w:numPr>
          <w:ilvl w:val="0"/>
          <w:numId w:val="37"/>
        </w:numPr>
        <w:spacing w:after="120"/>
      </w:pPr>
      <w:r>
        <w:t>C</w:t>
      </w:r>
      <w:r w:rsidR="00C52507" w:rsidRPr="00FD2825">
        <w:t>ompleting data fields</w:t>
      </w:r>
      <w:r w:rsidR="00391EC8" w:rsidRPr="00FD2825">
        <w:t>:</w:t>
      </w:r>
    </w:p>
    <w:p w14:paraId="7369B220" w14:textId="77777777" w:rsidR="002C3D79" w:rsidRDefault="000F20A7" w:rsidP="0061620E">
      <w:pPr>
        <w:pStyle w:val="Title"/>
        <w:ind w:left="1276" w:hanging="283"/>
      </w:pPr>
      <w:r w:rsidRPr="003B35A4">
        <w:t>Complete as much information as possible in the da</w:t>
      </w:r>
      <w:r w:rsidR="002371A3" w:rsidRPr="003B35A4">
        <w:t>t</w:t>
      </w:r>
      <w:r w:rsidRPr="003B35A4">
        <w:t>a fields</w:t>
      </w:r>
      <w:r w:rsidR="0056190E" w:rsidRPr="003B35A4">
        <w:t>.</w:t>
      </w:r>
      <w:r w:rsidRPr="003B35A4">
        <w:t xml:space="preserve"> </w:t>
      </w:r>
    </w:p>
    <w:p w14:paraId="5DE208DA" w14:textId="77777777" w:rsidR="002C3D79" w:rsidRDefault="00E14E88" w:rsidP="0061620E">
      <w:pPr>
        <w:pStyle w:val="Title"/>
        <w:ind w:left="1276" w:hanging="283"/>
      </w:pPr>
      <w:r w:rsidRPr="002C3D79">
        <w:t xml:space="preserve">Contain as much </w:t>
      </w:r>
      <w:r w:rsidR="00D17F23" w:rsidRPr="002C3D79">
        <w:t>c</w:t>
      </w:r>
      <w:r w:rsidR="004859AC" w:rsidRPr="002C3D79">
        <w:t xml:space="preserve">ustomer </w:t>
      </w:r>
      <w:r w:rsidR="00D17F23" w:rsidRPr="002C3D79">
        <w:t>d</w:t>
      </w:r>
      <w:r w:rsidR="004859AC" w:rsidRPr="002C3D79">
        <w:t xml:space="preserve">ue </w:t>
      </w:r>
      <w:r w:rsidR="00D17F23" w:rsidRPr="002C3D79">
        <w:t>d</w:t>
      </w:r>
      <w:r w:rsidR="004859AC" w:rsidRPr="002C3D79">
        <w:t xml:space="preserve">iligence information as possible such as full name, gender, </w:t>
      </w:r>
      <w:r w:rsidR="00F12005" w:rsidRPr="002C3D79">
        <w:t>nationality,</w:t>
      </w:r>
      <w:r w:rsidR="004859AC" w:rsidRPr="002C3D79">
        <w:t xml:space="preserve"> and address with postcode. </w:t>
      </w:r>
      <w:r w:rsidR="00F12005" w:rsidRPr="002C3D79">
        <w:t xml:space="preserve">Date of birth </w:t>
      </w:r>
      <w:r w:rsidR="001B3F3D" w:rsidRPr="002C3D79">
        <w:t>is</w:t>
      </w:r>
      <w:r w:rsidR="00F12005" w:rsidRPr="002C3D79">
        <w:t xml:space="preserve"> vital for identifying individuals correctly.</w:t>
      </w:r>
    </w:p>
    <w:p w14:paraId="7472C19D" w14:textId="77777777" w:rsidR="002C3D79" w:rsidRDefault="00007071" w:rsidP="0061620E">
      <w:pPr>
        <w:pStyle w:val="Title"/>
        <w:ind w:left="1276" w:hanging="283"/>
      </w:pPr>
      <w:r w:rsidRPr="002C3D79">
        <w:t xml:space="preserve">Use the word </w:t>
      </w:r>
      <w:r w:rsidR="00635B9A" w:rsidRPr="002C3D79">
        <w:t>‘UNKNOWN’ if you are unable to complete any of the</w:t>
      </w:r>
      <w:r w:rsidR="00743536" w:rsidRPr="002C3D79">
        <w:t xml:space="preserve"> fields. </w:t>
      </w:r>
      <w:r w:rsidR="002A618E" w:rsidRPr="002C3D79">
        <w:t xml:space="preserve">Do not leave it blank. </w:t>
      </w:r>
    </w:p>
    <w:p w14:paraId="16B15E32" w14:textId="6720E80A" w:rsidR="00DF0DF1" w:rsidRDefault="00E21A14" w:rsidP="0061620E">
      <w:pPr>
        <w:pStyle w:val="Title"/>
        <w:ind w:left="1276" w:hanging="283"/>
      </w:pPr>
      <w:r w:rsidRPr="002C3D79">
        <w:t>Any previous SAR reference numbers</w:t>
      </w:r>
      <w:r w:rsidR="00CE6E7C" w:rsidRPr="002C3D79">
        <w:t xml:space="preserve"> relating to the same matter</w:t>
      </w:r>
      <w:r w:rsidR="00EE74AF" w:rsidRPr="002C3D79">
        <w:t xml:space="preserve"> provided by the UK</w:t>
      </w:r>
      <w:r w:rsidR="00B42F5F" w:rsidRPr="002C3D79">
        <w:t xml:space="preserve"> Financial Intelligence Unit (UK</w:t>
      </w:r>
      <w:r w:rsidR="00EE74AF" w:rsidRPr="002C3D79">
        <w:t>FI</w:t>
      </w:r>
      <w:r w:rsidR="00B812BC" w:rsidRPr="002C3D79">
        <w:t>|U</w:t>
      </w:r>
      <w:r w:rsidR="00B42F5F" w:rsidRPr="002C3D79">
        <w:t>)</w:t>
      </w:r>
      <w:r w:rsidRPr="002C3D79">
        <w:t xml:space="preserve"> </w:t>
      </w:r>
      <w:r w:rsidR="004A2D77" w:rsidRPr="002C3D79">
        <w:t xml:space="preserve">(part of the NCA) </w:t>
      </w:r>
      <w:r w:rsidRPr="002C3D79">
        <w:t xml:space="preserve">should </w:t>
      </w:r>
      <w:r w:rsidR="00EE74AF" w:rsidRPr="002C3D79">
        <w:t xml:space="preserve">be </w:t>
      </w:r>
      <w:r w:rsidR="003614AA" w:rsidRPr="002C3D79">
        <w:t xml:space="preserve">included. </w:t>
      </w:r>
    </w:p>
    <w:p w14:paraId="4411FE85" w14:textId="77777777" w:rsidR="00222C57" w:rsidRPr="00222C57" w:rsidRDefault="00222C57" w:rsidP="00222C57"/>
    <w:p w14:paraId="74E32FEF" w14:textId="4275B230" w:rsidR="00BB1DEC" w:rsidRPr="00FD2825" w:rsidRDefault="00B57083" w:rsidP="0061620E">
      <w:pPr>
        <w:pStyle w:val="ICASBody"/>
        <w:numPr>
          <w:ilvl w:val="0"/>
          <w:numId w:val="37"/>
        </w:numPr>
        <w:spacing w:after="120"/>
        <w:ind w:left="714" w:hanging="357"/>
      </w:pPr>
      <w:r w:rsidRPr="00FD2825">
        <w:t xml:space="preserve">Completing </w:t>
      </w:r>
      <w:r w:rsidR="005B637D">
        <w:t>‘R</w:t>
      </w:r>
      <w:r w:rsidRPr="00FD2825">
        <w:t>eason for suspicion/knowledge</w:t>
      </w:r>
      <w:r w:rsidR="005B637D">
        <w:t>’</w:t>
      </w:r>
      <w:r w:rsidR="00A4769D">
        <w:t xml:space="preserve"> (step 5)</w:t>
      </w:r>
      <w:r w:rsidR="00FD2825" w:rsidRPr="00FD2825">
        <w:t xml:space="preserve">: </w:t>
      </w:r>
    </w:p>
    <w:p w14:paraId="13F7E329" w14:textId="7AA93E6B" w:rsidR="00FD2825" w:rsidRDefault="00FD2825" w:rsidP="00BF236F">
      <w:pPr>
        <w:pStyle w:val="ICASBody"/>
        <w:ind w:left="360"/>
      </w:pPr>
      <w:r>
        <w:t>This is an area</w:t>
      </w:r>
      <w:r w:rsidR="001A2B89">
        <w:t xml:space="preserve"> where the quality of SARs reports </w:t>
      </w:r>
      <w:r w:rsidR="004A2D77">
        <w:t xml:space="preserve">is </w:t>
      </w:r>
      <w:r w:rsidR="001A2B89">
        <w:t xml:space="preserve">often </w:t>
      </w:r>
      <w:r w:rsidR="004A2D77">
        <w:t>deficient</w:t>
      </w:r>
      <w:r w:rsidR="001A2B89">
        <w:t xml:space="preserve">. </w:t>
      </w:r>
      <w:r w:rsidR="00D16794">
        <w:t>Although the area is free text</w:t>
      </w:r>
      <w:r w:rsidR="001F48C0">
        <w:t>,</w:t>
      </w:r>
      <w:r w:rsidR="00D16794">
        <w:t xml:space="preserve"> there are key pieces of information that should be </w:t>
      </w:r>
      <w:r w:rsidR="009B7589">
        <w:t>included to ensure the rationale for the SAR</w:t>
      </w:r>
      <w:r w:rsidR="003F444F">
        <w:t xml:space="preserve"> is clear.</w:t>
      </w:r>
      <w:r w:rsidR="00C30B07">
        <w:t xml:space="preserve"> </w:t>
      </w:r>
    </w:p>
    <w:p w14:paraId="09E9CBB8" w14:textId="269C4F6C" w:rsidR="00A359E2" w:rsidRDefault="003823EE" w:rsidP="00BF236F">
      <w:pPr>
        <w:pStyle w:val="ICASBody"/>
        <w:numPr>
          <w:ilvl w:val="0"/>
          <w:numId w:val="29"/>
        </w:numPr>
      </w:pPr>
      <w:r>
        <w:t xml:space="preserve">The purpose </w:t>
      </w:r>
      <w:r w:rsidR="000B5E01">
        <w:t>–</w:t>
      </w:r>
      <w:r>
        <w:t xml:space="preserve"> </w:t>
      </w:r>
      <w:r w:rsidR="000B5E01">
        <w:t>begin this section with a short clear statement and use the</w:t>
      </w:r>
      <w:r w:rsidR="003939CF">
        <w:t xml:space="preserve"> </w:t>
      </w:r>
      <w:hyperlink r:id="rId20" w:history="1">
        <w:r w:rsidR="003939CF" w:rsidRPr="0021397B">
          <w:rPr>
            <w:rStyle w:val="Hyperlink"/>
          </w:rPr>
          <w:t>NCA</w:t>
        </w:r>
        <w:r w:rsidR="000B5E01" w:rsidRPr="0021397B">
          <w:rPr>
            <w:rStyle w:val="Hyperlink"/>
          </w:rPr>
          <w:t xml:space="preserve"> glossary codes</w:t>
        </w:r>
      </w:hyperlink>
      <w:r w:rsidR="001E3796">
        <w:t xml:space="preserve">. Glossary codes are </w:t>
      </w:r>
      <w:r w:rsidR="00223909">
        <w:t>shorthand</w:t>
      </w:r>
      <w:r w:rsidR="001E3796">
        <w:t xml:space="preserve"> indicators of what </w:t>
      </w:r>
      <w:r w:rsidR="00B87BA0">
        <w:t>the</w:t>
      </w:r>
      <w:r w:rsidR="005122AC">
        <w:t xml:space="preserve"> suspicious activity report relates to</w:t>
      </w:r>
      <w:r w:rsidR="00E12B6E">
        <w:t xml:space="preserve"> and should </w:t>
      </w:r>
      <w:r w:rsidR="004C2008">
        <w:t>be included in the reason for suspicion text space</w:t>
      </w:r>
      <w:r w:rsidR="0033796A">
        <w:t xml:space="preserve">. </w:t>
      </w:r>
      <w:r w:rsidR="00F67B4E">
        <w:t xml:space="preserve">Using </w:t>
      </w:r>
      <w:r w:rsidR="004C2008">
        <w:t xml:space="preserve">glossary </w:t>
      </w:r>
      <w:r w:rsidR="00F67B4E">
        <w:t xml:space="preserve">codes allows the NCA to manage and </w:t>
      </w:r>
      <w:r w:rsidR="003B5925">
        <w:t xml:space="preserve">assess </w:t>
      </w:r>
      <w:r w:rsidR="00CE07AC">
        <w:t>the</w:t>
      </w:r>
      <w:r w:rsidR="003B5925">
        <w:t xml:space="preserve"> SAR properly and </w:t>
      </w:r>
      <w:r w:rsidR="009F16A5">
        <w:t xml:space="preserve">prevents </w:t>
      </w:r>
      <w:r w:rsidR="003B5925">
        <w:t>delay</w:t>
      </w:r>
      <w:r w:rsidR="00A359E2">
        <w:t xml:space="preserve">. </w:t>
      </w:r>
    </w:p>
    <w:p w14:paraId="423C94AE" w14:textId="2B13067C" w:rsidR="00FB2449" w:rsidRDefault="00FB2449" w:rsidP="00BF236F">
      <w:pPr>
        <w:pStyle w:val="ICASBody"/>
        <w:numPr>
          <w:ilvl w:val="0"/>
          <w:numId w:val="29"/>
        </w:numPr>
      </w:pPr>
      <w:r>
        <w:t>Reason for sus</w:t>
      </w:r>
      <w:r w:rsidR="00615F7D">
        <w:t>picion</w:t>
      </w:r>
      <w:r>
        <w:t xml:space="preserve"> </w:t>
      </w:r>
      <w:r w:rsidR="00E66B7D">
        <w:t>–</w:t>
      </w:r>
      <w:r>
        <w:t xml:space="preserve"> </w:t>
      </w:r>
      <w:r w:rsidR="0061413B">
        <w:t xml:space="preserve">this is the rationale behind why a SAR </w:t>
      </w:r>
      <w:r w:rsidR="00F80889">
        <w:t xml:space="preserve">is being submitted </w:t>
      </w:r>
      <w:r w:rsidR="00555138">
        <w:t>and should therefore be explicit. T</w:t>
      </w:r>
      <w:r w:rsidR="00E66B7D">
        <w:t xml:space="preserve">he assessor cannot assume </w:t>
      </w:r>
      <w:r w:rsidR="00DD5420">
        <w:t xml:space="preserve">or </w:t>
      </w:r>
      <w:r w:rsidR="003C2A6C">
        <w:t>infer anything</w:t>
      </w:r>
      <w:r w:rsidR="00D63847">
        <w:t>,</w:t>
      </w:r>
      <w:r w:rsidR="003C2A6C">
        <w:t xml:space="preserve"> including </w:t>
      </w:r>
      <w:r w:rsidR="006256B0">
        <w:t>suspicion or knowledge</w:t>
      </w:r>
      <w:r w:rsidR="00D63847">
        <w:t>,</w:t>
      </w:r>
      <w:r w:rsidR="006256B0">
        <w:t xml:space="preserve"> </w:t>
      </w:r>
      <w:r w:rsidR="00A1760C">
        <w:t xml:space="preserve">so if you feel that </w:t>
      </w:r>
      <w:r w:rsidR="00F663B0">
        <w:t xml:space="preserve">the reasons for suspicion </w:t>
      </w:r>
      <w:r w:rsidR="009F22ED">
        <w:t xml:space="preserve">have not been clearly explained </w:t>
      </w:r>
      <w:r w:rsidR="00F663B0">
        <w:t>in the background</w:t>
      </w:r>
      <w:r w:rsidR="00D63847">
        <w:t>,</w:t>
      </w:r>
      <w:r w:rsidR="00F663B0">
        <w:t xml:space="preserve"> then </w:t>
      </w:r>
      <w:r w:rsidR="00F764B3">
        <w:t xml:space="preserve">it </w:t>
      </w:r>
      <w:r w:rsidR="00F663B0">
        <w:t xml:space="preserve">should </w:t>
      </w:r>
      <w:r w:rsidR="00F764B3">
        <w:t xml:space="preserve">be </w:t>
      </w:r>
      <w:r w:rsidR="00F663B0">
        <w:t>detail</w:t>
      </w:r>
      <w:r w:rsidR="00F764B3">
        <w:t>ed</w:t>
      </w:r>
      <w:r w:rsidR="00F663B0">
        <w:t xml:space="preserve"> </w:t>
      </w:r>
      <w:r w:rsidR="009578FD">
        <w:t xml:space="preserve">here </w:t>
      </w:r>
      <w:r w:rsidR="00F663B0">
        <w:t xml:space="preserve">separately. </w:t>
      </w:r>
      <w:r w:rsidR="00CA720C">
        <w:t xml:space="preserve">This should include a </w:t>
      </w:r>
      <w:r w:rsidR="00D904E6">
        <w:t>description of the property that is known, suspected</w:t>
      </w:r>
      <w:r w:rsidR="00D63847">
        <w:t>,</w:t>
      </w:r>
      <w:r w:rsidR="00D904E6">
        <w:t xml:space="preserve"> or believed to be criminal propert</w:t>
      </w:r>
      <w:r w:rsidR="00450BB7">
        <w:t>y.</w:t>
      </w:r>
      <w:r w:rsidR="00D904E6">
        <w:t xml:space="preserve"> </w:t>
      </w:r>
      <w:r w:rsidR="00DD170C">
        <w:t xml:space="preserve">If there is a suspicion that the services </w:t>
      </w:r>
      <w:r w:rsidR="007A5F49">
        <w:t xml:space="preserve">being provided </w:t>
      </w:r>
      <w:r w:rsidR="00C1082B">
        <w:t xml:space="preserve">appear to </w:t>
      </w:r>
      <w:r w:rsidR="00881BD8">
        <w:t>facilitate money laundering, intentionally or unintentionally</w:t>
      </w:r>
      <w:r w:rsidR="00D63847">
        <w:t>,</w:t>
      </w:r>
      <w:r w:rsidR="00C1082B">
        <w:t xml:space="preserve"> then </w:t>
      </w:r>
      <w:r w:rsidR="00FB3A8B">
        <w:t xml:space="preserve">this </w:t>
      </w:r>
      <w:r w:rsidR="00C1082B">
        <w:t xml:space="preserve">should be fully described </w:t>
      </w:r>
      <w:r w:rsidR="00E66ADC">
        <w:t>e.g.,</w:t>
      </w:r>
      <w:r w:rsidR="003B7CE3">
        <w:t xml:space="preserve"> if </w:t>
      </w:r>
      <w:r w:rsidR="005A3592">
        <w:t xml:space="preserve">it is thought that </w:t>
      </w:r>
      <w:r w:rsidR="003B7CE3">
        <w:t xml:space="preserve">that a client bank account has been used for money laundering then state this. </w:t>
      </w:r>
    </w:p>
    <w:p w14:paraId="6A3EBD84" w14:textId="10B3C7A1" w:rsidR="00442BBC" w:rsidRDefault="00F25A7A" w:rsidP="00BF236F">
      <w:pPr>
        <w:pStyle w:val="ICASBody"/>
        <w:numPr>
          <w:ilvl w:val="0"/>
          <w:numId w:val="29"/>
        </w:numPr>
      </w:pPr>
      <w:r>
        <w:lastRenderedPageBreak/>
        <w:t xml:space="preserve">The </w:t>
      </w:r>
      <w:r w:rsidR="009578FD">
        <w:t>background/s</w:t>
      </w:r>
      <w:r>
        <w:t xml:space="preserve">ummary </w:t>
      </w:r>
      <w:r w:rsidR="00C95872">
        <w:t>–</w:t>
      </w:r>
      <w:r>
        <w:t xml:space="preserve"> </w:t>
      </w:r>
      <w:r w:rsidR="00C95872">
        <w:t xml:space="preserve">it is important </w:t>
      </w:r>
      <w:r w:rsidR="00C3001D">
        <w:t xml:space="preserve">that </w:t>
      </w:r>
      <w:r w:rsidR="00C95872">
        <w:t xml:space="preserve">the </w:t>
      </w:r>
      <w:r w:rsidR="004A40A6">
        <w:t xml:space="preserve">investigator assessing </w:t>
      </w:r>
      <w:r w:rsidR="00F16D98">
        <w:t xml:space="preserve">the </w:t>
      </w:r>
      <w:r w:rsidR="00C1466C">
        <w:t xml:space="preserve">SAR </w:t>
      </w:r>
      <w:r w:rsidR="007001E7">
        <w:t>clearly understands</w:t>
      </w:r>
      <w:r w:rsidR="004A40A6">
        <w:t xml:space="preserve"> the relevant facts of </w:t>
      </w:r>
      <w:r w:rsidR="006636DA">
        <w:t xml:space="preserve">the situation. </w:t>
      </w:r>
      <w:r w:rsidR="00964560">
        <w:t>E</w:t>
      </w:r>
      <w:r w:rsidR="006636DA">
        <w:t xml:space="preserve">nter as much detail as </w:t>
      </w:r>
      <w:r w:rsidR="00CF25FB">
        <w:t>is</w:t>
      </w:r>
      <w:r w:rsidR="006636DA">
        <w:t xml:space="preserve"> </w:t>
      </w:r>
      <w:r w:rsidR="00AC592B">
        <w:t>helpful but</w:t>
      </w:r>
      <w:r w:rsidR="006636DA">
        <w:t xml:space="preserve"> remain clear and concise. </w:t>
      </w:r>
      <w:r w:rsidR="00555201">
        <w:t xml:space="preserve">The assessor can only go on what </w:t>
      </w:r>
      <w:r w:rsidR="00E10A21">
        <w:t xml:space="preserve">has been </w:t>
      </w:r>
      <w:r w:rsidR="00555201">
        <w:t>provided to them in writing</w:t>
      </w:r>
      <w:r w:rsidR="0036127B">
        <w:t xml:space="preserve"> so ensure it is included in </w:t>
      </w:r>
      <w:r w:rsidR="00781865">
        <w:t xml:space="preserve">the </w:t>
      </w:r>
      <w:r w:rsidR="0036127B">
        <w:t>submission</w:t>
      </w:r>
      <w:r w:rsidR="00555201">
        <w:t xml:space="preserve">. </w:t>
      </w:r>
    </w:p>
    <w:p w14:paraId="7B43CC17" w14:textId="2494599E" w:rsidR="00C7597C" w:rsidRPr="00713EDB" w:rsidRDefault="00C7597C" w:rsidP="00815EF4">
      <w:pPr>
        <w:pStyle w:val="ICASBody"/>
        <w:spacing w:after="120"/>
      </w:pPr>
      <w:r w:rsidRPr="00713EDB">
        <w:t xml:space="preserve">Specific tips include: </w:t>
      </w:r>
    </w:p>
    <w:p w14:paraId="55CCCB9F" w14:textId="7640A5E3" w:rsidR="00C7597C" w:rsidRDefault="00F83AE9" w:rsidP="00815EF4">
      <w:pPr>
        <w:pStyle w:val="Title"/>
        <w:ind w:left="1276" w:hanging="283"/>
      </w:pPr>
      <w:r>
        <w:t>Follow the who, what, where, why, when method</w:t>
      </w:r>
      <w:r w:rsidR="00210CB5">
        <w:t>.</w:t>
      </w:r>
    </w:p>
    <w:p w14:paraId="2928FAC4" w14:textId="382E51AC" w:rsidR="00465E25" w:rsidRDefault="00465E25" w:rsidP="00815EF4">
      <w:pPr>
        <w:pStyle w:val="Title"/>
        <w:ind w:left="1276" w:hanging="283"/>
      </w:pPr>
      <w:r>
        <w:t xml:space="preserve">The services provided to the client should be described </w:t>
      </w:r>
      <w:r w:rsidR="00EF05D1">
        <w:t>e.g.,</w:t>
      </w:r>
      <w:r>
        <w:t xml:space="preserve"> accountancy, audit, insolvency.</w:t>
      </w:r>
      <w:r w:rsidR="00716D29">
        <w:t xml:space="preserve"> </w:t>
      </w:r>
    </w:p>
    <w:p w14:paraId="6642D543" w14:textId="3A1A1A54" w:rsidR="00143462" w:rsidRDefault="00143462" w:rsidP="00815EF4">
      <w:pPr>
        <w:pStyle w:val="Title"/>
        <w:ind w:left="1276" w:hanging="283"/>
      </w:pPr>
      <w:r>
        <w:t>Content should be clear, concise</w:t>
      </w:r>
      <w:r w:rsidR="00D63847">
        <w:t>,</w:t>
      </w:r>
      <w:r>
        <w:t xml:space="preserve"> and simple. </w:t>
      </w:r>
    </w:p>
    <w:p w14:paraId="57A8064D" w14:textId="14EFA740" w:rsidR="00F83AE9" w:rsidRDefault="000F1572" w:rsidP="00815EF4">
      <w:pPr>
        <w:pStyle w:val="Title"/>
        <w:ind w:left="1276" w:hanging="283"/>
      </w:pPr>
      <w:r>
        <w:t xml:space="preserve">Summarise </w:t>
      </w:r>
      <w:r w:rsidR="00B50F54">
        <w:t xml:space="preserve">action or activity </w:t>
      </w:r>
      <w:r w:rsidR="00F83AE9">
        <w:t>chronologically</w:t>
      </w:r>
      <w:r w:rsidR="00210CB5">
        <w:t>.</w:t>
      </w:r>
      <w:r w:rsidR="00F83AE9">
        <w:t xml:space="preserve"> </w:t>
      </w:r>
    </w:p>
    <w:p w14:paraId="5B2C5C45" w14:textId="1670D193" w:rsidR="00F83AE9" w:rsidRDefault="00F83AE9" w:rsidP="00815EF4">
      <w:pPr>
        <w:pStyle w:val="Title"/>
        <w:ind w:left="1276" w:hanging="283"/>
      </w:pPr>
      <w:r>
        <w:t>Avoid acronyms</w:t>
      </w:r>
      <w:r w:rsidR="006E0E5A">
        <w:t>,</w:t>
      </w:r>
      <w:r>
        <w:t xml:space="preserve"> jargon</w:t>
      </w:r>
      <w:r w:rsidR="00D63847">
        <w:t>,</w:t>
      </w:r>
      <w:r w:rsidR="006E0E5A">
        <w:t xml:space="preserve"> and special symbols</w:t>
      </w:r>
      <w:r w:rsidR="00210CB5">
        <w:t>.</w:t>
      </w:r>
    </w:p>
    <w:p w14:paraId="5F7A55F6" w14:textId="13B9FEF1" w:rsidR="009E1605" w:rsidRDefault="009E1605" w:rsidP="00815EF4">
      <w:pPr>
        <w:pStyle w:val="Title"/>
        <w:ind w:left="1276" w:hanging="283"/>
      </w:pPr>
      <w:r>
        <w:t>Do not write in capital letters</w:t>
      </w:r>
      <w:r w:rsidR="00F12C8F">
        <w:t xml:space="preserve"> and use punctuation, as appropriate. </w:t>
      </w:r>
    </w:p>
    <w:p w14:paraId="43751307" w14:textId="49ABCEE3" w:rsidR="009E39A1" w:rsidRDefault="00210CB5" w:rsidP="00815EF4">
      <w:pPr>
        <w:pStyle w:val="Title"/>
        <w:ind w:left="1276" w:hanging="283"/>
      </w:pPr>
      <w:r>
        <w:t>Ensure</w:t>
      </w:r>
      <w:r w:rsidR="006401E4">
        <w:t xml:space="preserve"> paragraphs </w:t>
      </w:r>
      <w:r>
        <w:t xml:space="preserve">are used </w:t>
      </w:r>
      <w:r w:rsidR="006401E4">
        <w:t>to avoid large blocks of text</w:t>
      </w:r>
      <w:r w:rsidR="004921F4">
        <w:t xml:space="preserve"> </w:t>
      </w:r>
      <w:r w:rsidR="009E39A1">
        <w:t>and</w:t>
      </w:r>
      <w:r w:rsidR="004921F4">
        <w:t xml:space="preserve"> keep the narrative clear. </w:t>
      </w:r>
    </w:p>
    <w:p w14:paraId="14AFB109" w14:textId="3B50D28F" w:rsidR="004921F4" w:rsidRDefault="004921F4" w:rsidP="00815EF4">
      <w:pPr>
        <w:pStyle w:val="Title"/>
        <w:ind w:left="1276" w:hanging="283"/>
      </w:pPr>
      <w:r w:rsidRPr="009E39A1">
        <w:t xml:space="preserve">The </w:t>
      </w:r>
      <w:r w:rsidR="009E39A1">
        <w:t>field is limited to</w:t>
      </w:r>
      <w:r w:rsidRPr="009E39A1">
        <w:t xml:space="preserve"> 8,000 characters</w:t>
      </w:r>
      <w:r w:rsidR="00E936AC">
        <w:t>, approximately 1,500 words</w:t>
      </w:r>
      <w:r w:rsidR="002E3E50">
        <w:t>. C</w:t>
      </w:r>
      <w:r w:rsidRPr="009E39A1">
        <w:t xml:space="preserve">onsider </w:t>
      </w:r>
      <w:r w:rsidR="00645176" w:rsidRPr="009E39A1">
        <w:t xml:space="preserve">drafting </w:t>
      </w:r>
      <w:r w:rsidR="00297D04">
        <w:t xml:space="preserve">the </w:t>
      </w:r>
      <w:r w:rsidR="00645176" w:rsidRPr="009E39A1">
        <w:t>response in a word document first</w:t>
      </w:r>
      <w:r w:rsidR="003E0609">
        <w:t xml:space="preserve"> (</w:t>
      </w:r>
      <w:r w:rsidR="00645176" w:rsidRPr="009E39A1">
        <w:t xml:space="preserve">using the word count </w:t>
      </w:r>
      <w:r w:rsidR="006B371F" w:rsidRPr="009E39A1">
        <w:t>feature</w:t>
      </w:r>
      <w:r w:rsidR="003E0609">
        <w:t>),</w:t>
      </w:r>
      <w:r w:rsidR="00645176" w:rsidRPr="009E39A1">
        <w:t xml:space="preserve"> </w:t>
      </w:r>
      <w:r w:rsidR="006B371F" w:rsidRPr="009E39A1">
        <w:t xml:space="preserve">to aid submission online. </w:t>
      </w:r>
    </w:p>
    <w:p w14:paraId="57BD75DB" w14:textId="75833575" w:rsidR="00A073DE" w:rsidRDefault="00E3127D" w:rsidP="00815EF4">
      <w:pPr>
        <w:pStyle w:val="ICASBody"/>
        <w:spacing w:before="240"/>
      </w:pPr>
      <w:r>
        <w:t>Please refer to the NCA’s</w:t>
      </w:r>
      <w:r w:rsidR="004E6AB6">
        <w:t xml:space="preserve"> </w:t>
      </w:r>
      <w:hyperlink r:id="rId21" w:history="1">
        <w:r w:rsidR="004E6AB6" w:rsidRPr="001B569E">
          <w:rPr>
            <w:rStyle w:val="Hyperlink"/>
          </w:rPr>
          <w:t>guidance on submitting better quality Suspicious Activity Reports</w:t>
        </w:r>
      </w:hyperlink>
      <w:r>
        <w:t xml:space="preserve"> </w:t>
      </w:r>
      <w:r w:rsidR="00D763F8">
        <w:t xml:space="preserve">for more detailed information and </w:t>
      </w:r>
      <w:r w:rsidR="002567ED">
        <w:t xml:space="preserve">good practice. </w:t>
      </w:r>
    </w:p>
    <w:p w14:paraId="7BDD6ED8" w14:textId="0809DA07" w:rsidR="002E6634" w:rsidRPr="00C71E30" w:rsidRDefault="002E6634" w:rsidP="007B6C3D">
      <w:pPr>
        <w:pStyle w:val="Heading3"/>
      </w:pPr>
      <w:r w:rsidRPr="00C71E30">
        <w:t xml:space="preserve">Defence Against Money Laundering </w:t>
      </w:r>
      <w:r>
        <w:t xml:space="preserve">SAR </w:t>
      </w:r>
      <w:r w:rsidRPr="00C71E30">
        <w:t>(DAML</w:t>
      </w:r>
      <w:r>
        <w:t xml:space="preserve"> SAR</w:t>
      </w:r>
      <w:r w:rsidRPr="00C71E30">
        <w:t>)</w:t>
      </w:r>
    </w:p>
    <w:p w14:paraId="78F25EA2" w14:textId="77777777" w:rsidR="002E6634" w:rsidRDefault="002E6634" w:rsidP="00461B4E">
      <w:pPr>
        <w:pStyle w:val="ICASBody"/>
      </w:pPr>
      <w:r>
        <w:t xml:space="preserve">A DAML SAR can be requested when there is a suspicion that property intending to be dealt with might be criminal in some way and so by dealing with it, there is a risk of an offence under POCA (2002) being committed. As noted above, this might happen where, for example, there are concerns over the source of funds after they have been received. In this instance, the NCA can provide a defence against the principal money laundering offences, for a specified future activity. </w:t>
      </w:r>
    </w:p>
    <w:p w14:paraId="05256AF6" w14:textId="77777777" w:rsidR="002E6634" w:rsidRDefault="002E6634" w:rsidP="00461B4E">
      <w:pPr>
        <w:pStyle w:val="ICASBody"/>
      </w:pPr>
      <w:r>
        <w:t xml:space="preserve">When completing the external SAR online you would need to ensure you tick the box marked ‘consent’ and be clear within the free text box about what action it is you want consent for. </w:t>
      </w:r>
    </w:p>
    <w:p w14:paraId="07850775" w14:textId="1B6394DB" w:rsidR="002E6634" w:rsidRDefault="002E6634" w:rsidP="00461B4E">
      <w:pPr>
        <w:pStyle w:val="ICASBody"/>
      </w:pPr>
      <w:r>
        <w:t xml:space="preserve">Further information can be found on the NCA website, </w:t>
      </w:r>
      <w:hyperlink r:id="rId22" w:history="1">
        <w:r w:rsidRPr="009E7287">
          <w:rPr>
            <w:rStyle w:val="Hyperlink"/>
          </w:rPr>
          <w:t>Requesting a defence under POCA and TACT</w:t>
        </w:r>
      </w:hyperlink>
      <w:r>
        <w:t xml:space="preserve"> and in the </w:t>
      </w:r>
      <w:hyperlink r:id="rId23" w:history="1">
        <w:r w:rsidRPr="00584DE2">
          <w:rPr>
            <w:rStyle w:val="Hyperlink"/>
          </w:rPr>
          <w:t>Defence Against Money Laundering (DAML) FAQs</w:t>
        </w:r>
      </w:hyperlink>
      <w:r>
        <w:t>.</w:t>
      </w:r>
    </w:p>
    <w:p w14:paraId="56139DF2" w14:textId="011E0AAC" w:rsidR="003A752F" w:rsidRDefault="00FE2CE1" w:rsidP="00461B4E">
      <w:pPr>
        <w:pStyle w:val="ICASBody"/>
      </w:pPr>
      <w:r>
        <w:t xml:space="preserve">The NCA has also approved </w:t>
      </w:r>
      <w:hyperlink r:id="rId24" w:history="1">
        <w:r w:rsidRPr="006D71A7">
          <w:rPr>
            <w:rStyle w:val="Hyperlink"/>
          </w:rPr>
          <w:t>CCAB guidance</w:t>
        </w:r>
      </w:hyperlink>
      <w:r>
        <w:t xml:space="preserve"> </w:t>
      </w:r>
      <w:r w:rsidR="00FE04CB">
        <w:t xml:space="preserve">on DAML </w:t>
      </w:r>
      <w:r w:rsidR="004F68C0">
        <w:t xml:space="preserve">requests </w:t>
      </w:r>
      <w:r w:rsidR="00FE04CB">
        <w:t>for Insolvency Practitioners</w:t>
      </w:r>
      <w:r w:rsidR="00501F84">
        <w:t>.</w:t>
      </w:r>
    </w:p>
    <w:p w14:paraId="436B137B" w14:textId="4DC8994C" w:rsidR="00CB7EE6" w:rsidRPr="00461B4E" w:rsidRDefault="00CB7EE6" w:rsidP="00B37AC5">
      <w:pPr>
        <w:pStyle w:val="Heading2"/>
      </w:pPr>
      <w:r w:rsidRPr="00461B4E">
        <w:t xml:space="preserve">Further guidance </w:t>
      </w:r>
    </w:p>
    <w:p w14:paraId="6C410060" w14:textId="085DA29B" w:rsidR="001A46C8" w:rsidRDefault="001A46C8" w:rsidP="00461B4E">
      <w:pPr>
        <w:pStyle w:val="Heading3"/>
      </w:pPr>
      <w:r>
        <w:t>Examples of</w:t>
      </w:r>
      <w:r w:rsidR="003601B9">
        <w:t xml:space="preserve"> SARs that lack detail</w:t>
      </w:r>
    </w:p>
    <w:p w14:paraId="43A450EE" w14:textId="1D78C69D" w:rsidR="003601B9" w:rsidRDefault="003601B9" w:rsidP="00461B4E">
      <w:pPr>
        <w:pStyle w:val="ICASBody"/>
      </w:pPr>
      <w:r w:rsidRPr="003601B9">
        <w:t xml:space="preserve">It is essential that as much detail as possible is provided </w:t>
      </w:r>
      <w:r w:rsidR="00B07A11">
        <w:t xml:space="preserve">in the first instance by the reporter, to avoid delay. In some instances, this information might not be available, but it is important to think about </w:t>
      </w:r>
      <w:r w:rsidR="0009442F">
        <w:t xml:space="preserve">the additional questions that might be asked and </w:t>
      </w:r>
      <w:r w:rsidR="001B0B05">
        <w:t xml:space="preserve">to </w:t>
      </w:r>
      <w:r w:rsidR="0009442F">
        <w:t xml:space="preserve">provide this upfront. </w:t>
      </w:r>
      <w:r w:rsidR="00E90A0F">
        <w:t xml:space="preserve">The following are examples of where the suspicion lacked sufficient detail </w:t>
      </w:r>
      <w:r w:rsidR="006D698F">
        <w:t xml:space="preserve">on which law enforcement could act, with further </w:t>
      </w:r>
      <w:r w:rsidR="00BC3C0E">
        <w:t xml:space="preserve">questions to consider which should be included in the detail, if known. </w:t>
      </w:r>
    </w:p>
    <w:p w14:paraId="0B163136" w14:textId="66E0DA2E" w:rsidR="005B5078" w:rsidRPr="00461B4E" w:rsidRDefault="005B5078" w:rsidP="00BE6CF9">
      <w:pPr>
        <w:spacing w:after="120"/>
        <w:rPr>
          <w:rStyle w:val="IntenseEmphasis"/>
        </w:rPr>
      </w:pPr>
      <w:r w:rsidRPr="00461B4E">
        <w:rPr>
          <w:rStyle w:val="IntenseEmphasis"/>
        </w:rPr>
        <w:t xml:space="preserve">Example 1 </w:t>
      </w:r>
      <w:r w:rsidR="002F6F67" w:rsidRPr="00461B4E">
        <w:rPr>
          <w:rStyle w:val="IntenseEmphasis"/>
        </w:rPr>
        <w:t>–</w:t>
      </w:r>
      <w:r w:rsidRPr="00461B4E">
        <w:rPr>
          <w:rStyle w:val="IntenseEmphasis"/>
        </w:rPr>
        <w:t xml:space="preserve"> </w:t>
      </w:r>
      <w:r w:rsidR="002F6F67" w:rsidRPr="00461B4E">
        <w:rPr>
          <w:rStyle w:val="IntenseEmphasis"/>
        </w:rPr>
        <w:t xml:space="preserve">‘Information has come to our attention that </w:t>
      </w:r>
      <w:r w:rsidR="00041526" w:rsidRPr="00461B4E">
        <w:rPr>
          <w:rStyle w:val="IntenseEmphasis"/>
        </w:rPr>
        <w:t xml:space="preserve">our client has been convicted of a drug trafficking offence’ </w:t>
      </w:r>
    </w:p>
    <w:p w14:paraId="5B1F1351" w14:textId="2B2F6DC5" w:rsidR="00041526" w:rsidRPr="00041526" w:rsidRDefault="00041526" w:rsidP="00461B4E">
      <w:pPr>
        <w:pStyle w:val="ICASBody"/>
      </w:pPr>
      <w:r>
        <w:t xml:space="preserve">Further considerations </w:t>
      </w:r>
      <w:r w:rsidR="008A2C2E">
        <w:t>–</w:t>
      </w:r>
      <w:r>
        <w:t xml:space="preserve"> </w:t>
      </w:r>
      <w:r w:rsidR="008A2C2E" w:rsidRPr="008A2C2E">
        <w:t xml:space="preserve">How has this information come to the attention of the </w:t>
      </w:r>
      <w:r w:rsidR="00CE0782">
        <w:t>reporter</w:t>
      </w:r>
      <w:r w:rsidR="008A2C2E" w:rsidRPr="008A2C2E">
        <w:t xml:space="preserve">? When did the information come to the attention of the </w:t>
      </w:r>
      <w:r w:rsidR="00CE0782">
        <w:t>reporter</w:t>
      </w:r>
      <w:r w:rsidR="008A2C2E" w:rsidRPr="008A2C2E">
        <w:t>? What work do</w:t>
      </w:r>
      <w:r w:rsidR="00E32E1D">
        <w:t>es</w:t>
      </w:r>
      <w:r w:rsidR="008A2C2E" w:rsidRPr="008A2C2E">
        <w:t xml:space="preserve"> the </w:t>
      </w:r>
      <w:r w:rsidR="00E32E1D">
        <w:t>reporter</w:t>
      </w:r>
      <w:r w:rsidR="008A2C2E" w:rsidRPr="008A2C2E">
        <w:t xml:space="preserve"> do for this client? Are there any further suspicions or irregularities aside from the conviction? What is the suspicion? Is the suspicion related to money laundering or is there any suspicion of links to terrorist financing?</w:t>
      </w:r>
    </w:p>
    <w:p w14:paraId="7ADB3684" w14:textId="2688A3FC" w:rsidR="00BC3C0E" w:rsidRPr="00461B4E" w:rsidRDefault="00365C9E" w:rsidP="00BE6CF9">
      <w:pPr>
        <w:spacing w:after="120"/>
        <w:rPr>
          <w:rStyle w:val="IntenseEmphasis"/>
        </w:rPr>
      </w:pPr>
      <w:r w:rsidRPr="00461B4E">
        <w:rPr>
          <w:rStyle w:val="IntenseEmphasis"/>
        </w:rPr>
        <w:t xml:space="preserve">Example </w:t>
      </w:r>
      <w:r w:rsidR="005B5078" w:rsidRPr="00461B4E">
        <w:rPr>
          <w:rStyle w:val="IntenseEmphasis"/>
        </w:rPr>
        <w:t>2</w:t>
      </w:r>
      <w:r w:rsidRPr="00461B4E">
        <w:rPr>
          <w:rStyle w:val="IntenseEmphasis"/>
        </w:rPr>
        <w:t xml:space="preserve"> – </w:t>
      </w:r>
      <w:r w:rsidR="007255D2" w:rsidRPr="00461B4E">
        <w:rPr>
          <w:rStyle w:val="IntenseEmphasis"/>
        </w:rPr>
        <w:t>‘We are Mr Smith’s accountant and noticed the issues on preparing the accounts</w:t>
      </w:r>
      <w:r w:rsidR="007826AF" w:rsidRPr="00461B4E">
        <w:rPr>
          <w:rStyle w:val="IntenseEmphasis"/>
        </w:rPr>
        <w:t>.</w:t>
      </w:r>
      <w:r w:rsidR="007255D2" w:rsidRPr="00461B4E">
        <w:rPr>
          <w:rStyle w:val="IntenseEmphasis"/>
        </w:rPr>
        <w:t xml:space="preserve">’ </w:t>
      </w:r>
    </w:p>
    <w:p w14:paraId="023FBDEE" w14:textId="5FCDC997" w:rsidR="007255D2" w:rsidRDefault="00013CEF" w:rsidP="00461B4E">
      <w:pPr>
        <w:pStyle w:val="ICASBody"/>
      </w:pPr>
      <w:r>
        <w:t xml:space="preserve">Further considerations – </w:t>
      </w:r>
      <w:r w:rsidRPr="00013CEF">
        <w:t>What is the issue the accountants have become aware of and when did this occur? Have there been any discussions with the client over this issue? Have there been any past irregularities? Is there a business involved? Is there a suspicion that money laundering is occurring? Are there reasonable grounds for suspecting any links to terrorist financing?</w:t>
      </w:r>
    </w:p>
    <w:p w14:paraId="74BB7D85" w14:textId="7DE402F8" w:rsidR="005B5078" w:rsidRPr="00461B4E" w:rsidRDefault="00AB09C8" w:rsidP="00BE6CF9">
      <w:pPr>
        <w:spacing w:after="120"/>
        <w:rPr>
          <w:rStyle w:val="IntenseEmphasis"/>
        </w:rPr>
      </w:pPr>
      <w:r w:rsidRPr="00461B4E">
        <w:rPr>
          <w:rStyle w:val="IntenseEmphasis"/>
        </w:rPr>
        <w:t xml:space="preserve">Example 3 – ‘My client has told me that he is not declaring all of his </w:t>
      </w:r>
      <w:r w:rsidR="007826AF" w:rsidRPr="00461B4E">
        <w:rPr>
          <w:rStyle w:val="IntenseEmphasis"/>
        </w:rPr>
        <w:t>income</w:t>
      </w:r>
      <w:r w:rsidR="007A6637" w:rsidRPr="00461B4E">
        <w:rPr>
          <w:rStyle w:val="IntenseEmphasis"/>
        </w:rPr>
        <w:t>.</w:t>
      </w:r>
      <w:r w:rsidRPr="00461B4E">
        <w:rPr>
          <w:rStyle w:val="IntenseEmphasis"/>
        </w:rPr>
        <w:t>’</w:t>
      </w:r>
    </w:p>
    <w:p w14:paraId="11D64FFC" w14:textId="508B4CAE" w:rsidR="00AB09C8" w:rsidRDefault="00AB09C8" w:rsidP="00461B4E">
      <w:pPr>
        <w:pStyle w:val="ICASBody"/>
      </w:pPr>
      <w:r>
        <w:t xml:space="preserve">Further considerations </w:t>
      </w:r>
      <w:r w:rsidR="0015696C">
        <w:t>–</w:t>
      </w:r>
      <w:r>
        <w:t xml:space="preserve"> </w:t>
      </w:r>
      <w:r w:rsidR="0015696C" w:rsidRPr="0015696C">
        <w:t>When did the client advise this? What is his declared income? Did he disclose what amount of earnings he is not disclosing and why? Can further content of any discussions that have taken place be detailed? Is there any suspicion that the subject is attempting to launder funds for criminal gain?</w:t>
      </w:r>
    </w:p>
    <w:p w14:paraId="0B09835C" w14:textId="540C12E4" w:rsidR="00D60786" w:rsidRPr="00461B4E" w:rsidRDefault="00815E90" w:rsidP="00BE6CF9">
      <w:pPr>
        <w:spacing w:after="120"/>
        <w:rPr>
          <w:rStyle w:val="IntenseEmphasis"/>
        </w:rPr>
      </w:pPr>
      <w:r w:rsidRPr="00461B4E">
        <w:rPr>
          <w:rStyle w:val="IntenseEmphasis"/>
        </w:rPr>
        <w:t xml:space="preserve">Example 4 </w:t>
      </w:r>
      <w:r w:rsidR="00CF49C4" w:rsidRPr="00461B4E">
        <w:rPr>
          <w:rStyle w:val="IntenseEmphasis"/>
        </w:rPr>
        <w:t>–</w:t>
      </w:r>
      <w:r w:rsidRPr="00461B4E">
        <w:rPr>
          <w:rStyle w:val="IntenseEmphasis"/>
        </w:rPr>
        <w:t xml:space="preserve"> </w:t>
      </w:r>
      <w:r w:rsidR="00CF49C4" w:rsidRPr="00461B4E">
        <w:rPr>
          <w:rStyle w:val="IntenseEmphasis"/>
        </w:rPr>
        <w:t>‘It has come to our attention that payments totalling £X credited to ou</w:t>
      </w:r>
      <w:r w:rsidR="0093341A" w:rsidRPr="00461B4E">
        <w:rPr>
          <w:rStyle w:val="IntenseEmphasis"/>
        </w:rPr>
        <w:t>r</w:t>
      </w:r>
      <w:r w:rsidR="00CF49C4" w:rsidRPr="00461B4E">
        <w:rPr>
          <w:rStyle w:val="IntenseEmphasis"/>
        </w:rPr>
        <w:t xml:space="preserve"> client’s account </w:t>
      </w:r>
      <w:r w:rsidR="001973C2" w:rsidRPr="00461B4E">
        <w:rPr>
          <w:rStyle w:val="IntenseEmphasis"/>
        </w:rPr>
        <w:t>were</w:t>
      </w:r>
      <w:r w:rsidR="00CF49C4" w:rsidRPr="00461B4E">
        <w:rPr>
          <w:rStyle w:val="IntenseEmphasis"/>
        </w:rPr>
        <w:t xml:space="preserve"> fraudulent. </w:t>
      </w:r>
      <w:r w:rsidR="001973C2" w:rsidRPr="00461B4E">
        <w:rPr>
          <w:rStyle w:val="IntenseEmphasis"/>
        </w:rPr>
        <w:t>We have concerns that our client may have been complicit in the deception</w:t>
      </w:r>
      <w:r w:rsidR="007826AF" w:rsidRPr="00461B4E">
        <w:rPr>
          <w:rStyle w:val="IntenseEmphasis"/>
        </w:rPr>
        <w:t>.</w:t>
      </w:r>
      <w:r w:rsidR="001973C2" w:rsidRPr="00461B4E">
        <w:rPr>
          <w:rStyle w:val="IntenseEmphasis"/>
        </w:rPr>
        <w:t xml:space="preserve">’ </w:t>
      </w:r>
    </w:p>
    <w:p w14:paraId="307166C4" w14:textId="42A63525" w:rsidR="001973C2" w:rsidRPr="001973C2" w:rsidRDefault="001973C2" w:rsidP="00461B4E">
      <w:pPr>
        <w:pStyle w:val="ICASBody"/>
      </w:pPr>
      <w:r>
        <w:t xml:space="preserve">Further considerations – </w:t>
      </w:r>
      <w:r w:rsidR="007A6637">
        <w:t>What makes the reporter suspect</w:t>
      </w:r>
      <w:r w:rsidR="005677C1">
        <w:t xml:space="preserve"> the </w:t>
      </w:r>
      <w:r w:rsidR="00CC61CC">
        <w:t xml:space="preserve">transaction was fraudulent? How does the reporter know the </w:t>
      </w:r>
      <w:r w:rsidR="00F40ABA">
        <w:t xml:space="preserve">client was complicit? Have they previously </w:t>
      </w:r>
      <w:r w:rsidR="00D36A5B">
        <w:t xml:space="preserve">seen this type of pattern with this client? Is there other information which explains why they are complicit? </w:t>
      </w:r>
    </w:p>
    <w:p w14:paraId="755F8917" w14:textId="0CF8B5A1" w:rsidR="00365C9E" w:rsidRPr="003601B9" w:rsidRDefault="00365C9E" w:rsidP="00461B4E">
      <w:pPr>
        <w:pStyle w:val="ICASBody"/>
      </w:pPr>
      <w:r>
        <w:t xml:space="preserve">Further examples are available in </w:t>
      </w:r>
      <w:hyperlink r:id="rId25" w:history="1">
        <w:r w:rsidRPr="00FE1834">
          <w:rPr>
            <w:rStyle w:val="Hyperlink"/>
          </w:rPr>
          <w:t xml:space="preserve">NCA’s </w:t>
        </w:r>
        <w:r w:rsidR="00A62585" w:rsidRPr="00FE1834">
          <w:rPr>
            <w:rStyle w:val="Hyperlink"/>
          </w:rPr>
          <w:t>‘Guidance on submitting better quality SARs’</w:t>
        </w:r>
      </w:hyperlink>
      <w:r w:rsidR="00A62585">
        <w:t xml:space="preserve">. </w:t>
      </w:r>
    </w:p>
    <w:p w14:paraId="4D13FDA8" w14:textId="2F6061E2" w:rsidR="00BE6CF9" w:rsidRDefault="00BE6CF9" w:rsidP="00A03D34">
      <w:pPr>
        <w:pStyle w:val="Heading3"/>
      </w:pPr>
      <w:r>
        <w:t xml:space="preserve">Success Stories </w:t>
      </w:r>
    </w:p>
    <w:p w14:paraId="264FC221" w14:textId="4BE27C19" w:rsidR="00B41551" w:rsidRPr="00D01F52" w:rsidRDefault="00EA45E4" w:rsidP="00B37AC5">
      <w:pPr>
        <w:pStyle w:val="ICASBody"/>
        <w:numPr>
          <w:ilvl w:val="0"/>
          <w:numId w:val="38"/>
        </w:numPr>
        <w:ind w:left="426" w:hanging="284"/>
      </w:pPr>
      <w:r w:rsidRPr="00D01F52">
        <w:t xml:space="preserve">A SAR uncovered that </w:t>
      </w:r>
      <w:r w:rsidR="00A90D5F" w:rsidRPr="00D01F52">
        <w:t xml:space="preserve">a subject had failed to </w:t>
      </w:r>
      <w:r w:rsidR="006F73B1" w:rsidRPr="00D01F52">
        <w:t>declare their true financial situation</w:t>
      </w:r>
      <w:r w:rsidR="00383879" w:rsidRPr="00D01F52">
        <w:t>,</w:t>
      </w:r>
      <w:r w:rsidR="006F73B1" w:rsidRPr="00D01F52">
        <w:t xml:space="preserve"> identifying monies going into the subject’s bank account where they also had </w:t>
      </w:r>
      <w:r w:rsidR="00383879" w:rsidRPr="00D01F52">
        <w:t xml:space="preserve">received </w:t>
      </w:r>
      <w:r w:rsidR="006F73B1" w:rsidRPr="00D01F52">
        <w:t>benefit</w:t>
      </w:r>
      <w:r w:rsidR="00383879" w:rsidRPr="00D01F52">
        <w:t xml:space="preserve"> payments</w:t>
      </w:r>
      <w:r w:rsidR="006F73B1" w:rsidRPr="00D01F52">
        <w:t xml:space="preserve">. SARs identified that the subject had also claimed benefits in other identities and that </w:t>
      </w:r>
      <w:r w:rsidR="00834E7C" w:rsidRPr="00D01F52">
        <w:t xml:space="preserve">considerable </w:t>
      </w:r>
      <w:r w:rsidR="006F73B1" w:rsidRPr="00D01F52">
        <w:t>unexplained sums (</w:t>
      </w:r>
      <w:r w:rsidR="006F2EE0" w:rsidRPr="00D01F52">
        <w:t>more than</w:t>
      </w:r>
      <w:r w:rsidR="006F73B1" w:rsidRPr="00D01F52">
        <w:t xml:space="preserve"> £100,000) were being moved through the account. SAR intelligence identified that the subject had created a company, advertised for employees</w:t>
      </w:r>
      <w:r w:rsidR="00834E7C" w:rsidRPr="00D01F52">
        <w:t>,</w:t>
      </w:r>
      <w:r w:rsidR="006F73B1" w:rsidRPr="00D01F52">
        <w:t xml:space="preserve"> and then used their details from job applications to make fraudulent claims to benefits. The subject was arrested</w:t>
      </w:r>
      <w:r w:rsidR="00834E7C" w:rsidRPr="00D01F52">
        <w:t>,</w:t>
      </w:r>
      <w:r w:rsidR="006F73B1" w:rsidRPr="00D01F52">
        <w:t xml:space="preserve"> and </w:t>
      </w:r>
      <w:r w:rsidR="00D65446" w:rsidRPr="00D01F52">
        <w:t>several</w:t>
      </w:r>
      <w:r w:rsidR="006F73B1" w:rsidRPr="00D01F52">
        <w:t xml:space="preserve"> ID items seized. </w:t>
      </w:r>
    </w:p>
    <w:p w14:paraId="47F07E0A" w14:textId="7420B86A" w:rsidR="003B579F" w:rsidRDefault="001C2D02" w:rsidP="00B37AC5">
      <w:pPr>
        <w:pStyle w:val="ICASBody"/>
        <w:numPr>
          <w:ilvl w:val="0"/>
          <w:numId w:val="38"/>
        </w:numPr>
        <w:ind w:left="426" w:hanging="284"/>
      </w:pPr>
      <w:r w:rsidRPr="001C2D02">
        <w:t xml:space="preserve">A DAML SAR played an integral part in an investigation into a subject with substantial cryptocurrency holdings. Suspicions were raised as the subject had received a substantial amount of cryptocurrency from external addresses. The investigation revealed that the transaction patterns on the subject’s account were unusual, and the evidence suggested international money laundering linked to </w:t>
      </w:r>
      <w:proofErr w:type="spellStart"/>
      <w:r w:rsidRPr="001C2D02">
        <w:t>Darkweb</w:t>
      </w:r>
      <w:proofErr w:type="spellEnd"/>
      <w:r w:rsidRPr="001C2D02">
        <w:t xml:space="preserve"> activity and cryptocurrency ‘mixing’ services used to obscure the trail back to the funds’ original source. The DAML SAR directly assisted with furthering the investigation and preventing dissipation of the funds. As a </w:t>
      </w:r>
      <w:proofErr w:type="gramStart"/>
      <w:r w:rsidRPr="001C2D02">
        <w:t>result</w:t>
      </w:r>
      <w:proofErr w:type="gramEnd"/>
      <w:r w:rsidRPr="001C2D02">
        <w:t xml:space="preserve"> an </w:t>
      </w:r>
      <w:r w:rsidR="00AE7EBD">
        <w:t xml:space="preserve">Account Freezing Order </w:t>
      </w:r>
      <w:r w:rsidR="00F101AB">
        <w:t>(</w:t>
      </w:r>
      <w:r w:rsidRPr="001C2D02">
        <w:t>AFO</w:t>
      </w:r>
      <w:r w:rsidR="00F101AB">
        <w:t>)</w:t>
      </w:r>
      <w:r w:rsidRPr="001C2D02">
        <w:t xml:space="preserve"> for over £200,000 was obtained and successful forfeiture subsequently achieved for the full amount.</w:t>
      </w:r>
    </w:p>
    <w:p w14:paraId="1780B2E4" w14:textId="49927175" w:rsidR="00F101AB" w:rsidRPr="00F60252" w:rsidRDefault="00036E6B" w:rsidP="00B37AC5">
      <w:pPr>
        <w:pStyle w:val="ICASBody"/>
        <w:numPr>
          <w:ilvl w:val="0"/>
          <w:numId w:val="38"/>
        </w:numPr>
        <w:ind w:left="426" w:hanging="284"/>
      </w:pPr>
      <w:r>
        <w:t>A SAR reported that a manufacturer had deregistered from VAT despite</w:t>
      </w:r>
      <w:r w:rsidR="00B72210">
        <w:t xml:space="preserve"> turnover remaining </w:t>
      </w:r>
      <w:r w:rsidR="00DA2B67">
        <w:t>more than</w:t>
      </w:r>
      <w:r w:rsidR="00B72210">
        <w:t xml:space="preserve"> the VAT registration threshold</w:t>
      </w:r>
      <w:r w:rsidR="00B10134">
        <w:t xml:space="preserve">; the company’s records were incomplete; and that cash sales had been supressed. </w:t>
      </w:r>
      <w:r w:rsidR="00503223">
        <w:t xml:space="preserve">The enquiry established from the Corporation Tax returns that its turnover did indeed remain </w:t>
      </w:r>
      <w:r w:rsidR="00F204EF">
        <w:t>more than</w:t>
      </w:r>
      <w:r w:rsidR="00503223">
        <w:t xml:space="preserve"> the turnover limit </w:t>
      </w:r>
      <w:r w:rsidR="00C468BE">
        <w:t xml:space="preserve">for VAT. A settlement of over £60,000 resulted. This successful outcome was as a direct result of the information provided by the SAR. </w:t>
      </w:r>
    </w:p>
    <w:p w14:paraId="1FFA9A1C" w14:textId="53639C6C" w:rsidR="00D470E9" w:rsidRPr="000D4B49" w:rsidRDefault="00D470E9" w:rsidP="00A03D34">
      <w:pPr>
        <w:pStyle w:val="Heading3"/>
      </w:pPr>
      <w:r w:rsidRPr="000D4B49">
        <w:t xml:space="preserve">Red Flag Indicators </w:t>
      </w:r>
    </w:p>
    <w:p w14:paraId="6BF6EF66" w14:textId="6E8E9476" w:rsidR="00D470E9" w:rsidRDefault="00D470E9" w:rsidP="00A03D34">
      <w:pPr>
        <w:pStyle w:val="ICASBody"/>
      </w:pPr>
      <w:r>
        <w:t xml:space="preserve">It is essential that everyone in </w:t>
      </w:r>
      <w:r w:rsidR="000452F7">
        <w:t xml:space="preserve">a </w:t>
      </w:r>
      <w:r>
        <w:t xml:space="preserve">firm has a general understanding of the risks the accountancy sector is exposed to, otherwise referred to as red flag indicators: </w:t>
      </w:r>
    </w:p>
    <w:p w14:paraId="7B4B1AFB" w14:textId="6E8E9476" w:rsidR="00D470E9" w:rsidRDefault="00D470E9" w:rsidP="003E5BE6">
      <w:pPr>
        <w:pStyle w:val="ICASBody"/>
        <w:numPr>
          <w:ilvl w:val="0"/>
          <w:numId w:val="33"/>
        </w:numPr>
        <w:spacing w:after="120"/>
        <w:ind w:left="850" w:hanging="425"/>
      </w:pPr>
      <w:r w:rsidRPr="002A3768">
        <w:t xml:space="preserve">Client behaviour </w:t>
      </w:r>
      <w:r>
        <w:t>– when risk assessing a client some behaviours might raise questions and cause further enquiries</w:t>
      </w:r>
      <w:r w:rsidR="00DC3DB1">
        <w:t xml:space="preserve"> to be made</w:t>
      </w:r>
      <w:r>
        <w:t>, such as:</w:t>
      </w:r>
    </w:p>
    <w:p w14:paraId="0B570400" w14:textId="6E8E9476" w:rsidR="00D470E9" w:rsidRDefault="00D470E9" w:rsidP="003E5BE6">
      <w:pPr>
        <w:pStyle w:val="Title"/>
        <w:ind w:left="1276" w:hanging="283"/>
      </w:pPr>
      <w:r>
        <w:t xml:space="preserve">Changing advisors frequently in a short period of time with no legitimate </w:t>
      </w:r>
      <w:proofErr w:type="gramStart"/>
      <w:r>
        <w:t>reason;</w:t>
      </w:r>
      <w:proofErr w:type="gramEnd"/>
    </w:p>
    <w:p w14:paraId="24412E5F" w14:textId="6E8E9476" w:rsidR="00D470E9" w:rsidRDefault="00D470E9" w:rsidP="003E5BE6">
      <w:pPr>
        <w:pStyle w:val="Title"/>
        <w:ind w:left="1276" w:hanging="283"/>
      </w:pPr>
      <w:r>
        <w:t xml:space="preserve">Choosing </w:t>
      </w:r>
      <w:r w:rsidR="00347AB4">
        <w:t>a</w:t>
      </w:r>
      <w:r>
        <w:t xml:space="preserve"> geographically distant </w:t>
      </w:r>
      <w:proofErr w:type="gramStart"/>
      <w:r w:rsidR="000561B9">
        <w:t>advisor</w:t>
      </w:r>
      <w:r>
        <w:t>;</w:t>
      </w:r>
      <w:proofErr w:type="gramEnd"/>
    </w:p>
    <w:p w14:paraId="739CB917" w14:textId="6E8E9476" w:rsidR="00D470E9" w:rsidRDefault="00D470E9" w:rsidP="003E5BE6">
      <w:pPr>
        <w:pStyle w:val="Title"/>
        <w:ind w:left="1276" w:hanging="283"/>
      </w:pPr>
      <w:r>
        <w:t xml:space="preserve">Asking for short-cuts and/or anxious to complete a transaction without justification as to why completion is required </w:t>
      </w:r>
      <w:proofErr w:type="gramStart"/>
      <w:r>
        <w:t>quickly;</w:t>
      </w:r>
      <w:proofErr w:type="gramEnd"/>
    </w:p>
    <w:p w14:paraId="555DDB11" w14:textId="6E8E9476" w:rsidR="009A0974" w:rsidRDefault="009A0974" w:rsidP="003E5BE6">
      <w:pPr>
        <w:pStyle w:val="Title"/>
        <w:ind w:left="1276" w:hanging="283"/>
      </w:pPr>
      <w:r>
        <w:t xml:space="preserve">Overly secretive or obfuscation when asked </w:t>
      </w:r>
      <w:proofErr w:type="gramStart"/>
      <w:r>
        <w:t>question</w:t>
      </w:r>
      <w:r w:rsidR="00F43408">
        <w:t>s</w:t>
      </w:r>
      <w:r w:rsidR="00D455AF">
        <w:t>;</w:t>
      </w:r>
      <w:proofErr w:type="gramEnd"/>
    </w:p>
    <w:p w14:paraId="1C395FB7" w14:textId="6E8E9476" w:rsidR="00F43408" w:rsidRDefault="00F43408" w:rsidP="003E5BE6">
      <w:pPr>
        <w:pStyle w:val="Title"/>
        <w:ind w:left="1276" w:hanging="283"/>
      </w:pPr>
      <w:r>
        <w:t xml:space="preserve">Providing information late or close to </w:t>
      </w:r>
      <w:r w:rsidR="008B7199">
        <w:t xml:space="preserve">filing </w:t>
      </w:r>
      <w:r>
        <w:t xml:space="preserve">deadlines to avoid </w:t>
      </w:r>
      <w:proofErr w:type="gramStart"/>
      <w:r>
        <w:t>scrutiny</w:t>
      </w:r>
      <w:r w:rsidR="00D455AF">
        <w:t>;</w:t>
      </w:r>
      <w:proofErr w:type="gramEnd"/>
    </w:p>
    <w:p w14:paraId="3737AA72" w14:textId="77777777" w:rsidR="003E5BE6" w:rsidRDefault="00D470E9" w:rsidP="003E5BE6">
      <w:pPr>
        <w:pStyle w:val="Title"/>
        <w:spacing w:after="240"/>
        <w:ind w:left="1276" w:hanging="284"/>
      </w:pPr>
      <w:r>
        <w:t>Client that is known to have convictions for acquisitive crime; and</w:t>
      </w:r>
    </w:p>
    <w:p w14:paraId="634523B6" w14:textId="1D6B44B6" w:rsidR="00D470E9" w:rsidRDefault="00D470E9" w:rsidP="003E5BE6">
      <w:pPr>
        <w:pStyle w:val="Title"/>
        <w:spacing w:after="240"/>
        <w:ind w:left="1276" w:hanging="284"/>
      </w:pPr>
      <w:r>
        <w:t>Taking steps to hide their identity or that of the beneficial owner.</w:t>
      </w:r>
    </w:p>
    <w:p w14:paraId="2F4EC3EC" w14:textId="77777777" w:rsidR="00A03D34" w:rsidRPr="00A03D34" w:rsidRDefault="00A03D34" w:rsidP="00A03D34"/>
    <w:p w14:paraId="6E77E51D" w14:textId="4E9BEF83" w:rsidR="00D470E9" w:rsidRDefault="00D470E9" w:rsidP="003E5BE6">
      <w:pPr>
        <w:pStyle w:val="ICASBody"/>
        <w:numPr>
          <w:ilvl w:val="0"/>
          <w:numId w:val="33"/>
        </w:numPr>
        <w:spacing w:after="120"/>
        <w:ind w:left="851" w:hanging="425"/>
      </w:pPr>
      <w:r>
        <w:t>If the source of finance is unclear, it might raise questions about the basis of the transaction, such as:</w:t>
      </w:r>
    </w:p>
    <w:p w14:paraId="089D8E3D" w14:textId="6E8E9476" w:rsidR="00D470E9" w:rsidRDefault="00D470E9" w:rsidP="003E5BE6">
      <w:pPr>
        <w:pStyle w:val="Title"/>
        <w:ind w:left="1276" w:hanging="283"/>
      </w:pPr>
      <w:r>
        <w:t xml:space="preserve">Significant amounts of private funding appearing from an individual known to be in a cash intensive </w:t>
      </w:r>
      <w:proofErr w:type="gramStart"/>
      <w:r>
        <w:t>business;</w:t>
      </w:r>
      <w:proofErr w:type="gramEnd"/>
      <w:r>
        <w:t xml:space="preserve"> </w:t>
      </w:r>
    </w:p>
    <w:p w14:paraId="1F6661A6" w14:textId="6E8E9476" w:rsidR="00D470E9" w:rsidRDefault="00D470E9" w:rsidP="003E5BE6">
      <w:pPr>
        <w:pStyle w:val="Title"/>
        <w:ind w:left="1276" w:hanging="283"/>
      </w:pPr>
      <w:r>
        <w:t xml:space="preserve">Involvement of a third-party private funder without an apparent connection to the business or legitimate </w:t>
      </w:r>
      <w:proofErr w:type="gramStart"/>
      <w:r>
        <w:t>explanation;</w:t>
      </w:r>
      <w:proofErr w:type="gramEnd"/>
      <w:r>
        <w:t xml:space="preserve"> </w:t>
      </w:r>
    </w:p>
    <w:p w14:paraId="35BCEC94" w14:textId="473EA3B2" w:rsidR="00D470E9" w:rsidRDefault="00D470E9" w:rsidP="003E5BE6">
      <w:pPr>
        <w:pStyle w:val="Title"/>
        <w:ind w:left="1276" w:hanging="283"/>
      </w:pPr>
      <w:r>
        <w:t>Disproportionate amount of cash that is inconsistent with the socio-economic profile of the individuals involved;</w:t>
      </w:r>
      <w:r w:rsidR="00AD36C4">
        <w:t xml:space="preserve"> and</w:t>
      </w:r>
    </w:p>
    <w:p w14:paraId="2BCCCA5A" w14:textId="2004C523" w:rsidR="00D470E9" w:rsidRDefault="00D470E9" w:rsidP="003E5BE6">
      <w:pPr>
        <w:pStyle w:val="Title"/>
        <w:ind w:left="1276" w:hanging="283"/>
      </w:pPr>
      <w:r>
        <w:t>Finance is provided by an individual with no logical explanation or economic justification</w:t>
      </w:r>
      <w:r w:rsidR="00AD36C4">
        <w:t>.</w:t>
      </w:r>
    </w:p>
    <w:p w14:paraId="4610C8A0" w14:textId="77777777" w:rsidR="003E5BE6" w:rsidRDefault="003E5BE6" w:rsidP="003E5BE6">
      <w:pPr>
        <w:pStyle w:val="ICASBody"/>
      </w:pPr>
    </w:p>
    <w:p w14:paraId="6A7B9757" w14:textId="764EBF60" w:rsidR="00D470E9" w:rsidRDefault="00D470E9" w:rsidP="003E5BE6">
      <w:pPr>
        <w:pStyle w:val="ICASBody"/>
        <w:numPr>
          <w:ilvl w:val="0"/>
          <w:numId w:val="33"/>
        </w:numPr>
        <w:ind w:left="851" w:hanging="425"/>
      </w:pPr>
      <w:r>
        <w:t xml:space="preserve">If the nature of business itself and the way in which the business is structures seems a little unusual, such as: </w:t>
      </w:r>
    </w:p>
    <w:p w14:paraId="2269CABC" w14:textId="6E8E9476" w:rsidR="00D470E9" w:rsidRDefault="00D470E9" w:rsidP="003E5BE6">
      <w:pPr>
        <w:pStyle w:val="Title"/>
        <w:ind w:left="1276" w:hanging="283"/>
      </w:pPr>
      <w:r>
        <w:t xml:space="preserve">Overly complicated ownership structure with no legitimate or economic </w:t>
      </w:r>
      <w:proofErr w:type="gramStart"/>
      <w:r>
        <w:t>reason;</w:t>
      </w:r>
      <w:proofErr w:type="gramEnd"/>
    </w:p>
    <w:p w14:paraId="4F9357E0" w14:textId="6E8E9476" w:rsidR="00D470E9" w:rsidRDefault="00D470E9" w:rsidP="003E5BE6">
      <w:pPr>
        <w:pStyle w:val="Title"/>
        <w:ind w:left="1276" w:hanging="283"/>
      </w:pPr>
      <w:r>
        <w:t xml:space="preserve">Business transactions involve countries where there is a high risk of money </w:t>
      </w:r>
      <w:proofErr w:type="gramStart"/>
      <w:r>
        <w:t>laundering;</w:t>
      </w:r>
      <w:proofErr w:type="gramEnd"/>
    </w:p>
    <w:p w14:paraId="629F1473" w14:textId="6E8E9476" w:rsidR="00D470E9" w:rsidRDefault="00D470E9" w:rsidP="003E5BE6">
      <w:pPr>
        <w:pStyle w:val="Title"/>
        <w:ind w:left="1276" w:hanging="283"/>
      </w:pPr>
      <w:r>
        <w:t xml:space="preserve">False or suspicious documents are used to back up </w:t>
      </w:r>
      <w:proofErr w:type="gramStart"/>
      <w:r>
        <w:t>transactions;</w:t>
      </w:r>
      <w:proofErr w:type="gramEnd"/>
    </w:p>
    <w:p w14:paraId="0BE06515" w14:textId="6E8E9476" w:rsidR="00D470E9" w:rsidRDefault="00D470E9" w:rsidP="003E5BE6">
      <w:pPr>
        <w:pStyle w:val="Title"/>
        <w:ind w:left="1276" w:hanging="283"/>
      </w:pPr>
      <w:r>
        <w:t xml:space="preserve">Unusual transactions due to their size, frequency, or the manner of execution in relation the client’s known business </w:t>
      </w:r>
      <w:proofErr w:type="gramStart"/>
      <w:r>
        <w:t>type;</w:t>
      </w:r>
      <w:proofErr w:type="gramEnd"/>
    </w:p>
    <w:p w14:paraId="3A92A049" w14:textId="0F31C73D" w:rsidR="00D470E9" w:rsidRPr="00C2740A" w:rsidRDefault="00D470E9" w:rsidP="003E5BE6">
      <w:pPr>
        <w:pStyle w:val="Title"/>
        <w:ind w:left="1276" w:hanging="283"/>
      </w:pPr>
      <w:r>
        <w:t>Assets appear inconsistent with their known legitimate income</w:t>
      </w:r>
      <w:r w:rsidR="00D0510F">
        <w:t>.</w:t>
      </w:r>
    </w:p>
    <w:p w14:paraId="3B9DC59E" w14:textId="77777777" w:rsidR="00DC24C7" w:rsidRDefault="00DC24C7" w:rsidP="006A1E42">
      <w:pPr>
        <w:rPr>
          <w:b/>
          <w:bCs/>
        </w:rPr>
      </w:pPr>
    </w:p>
    <w:p w14:paraId="30541D64" w14:textId="77777777" w:rsidR="00D73C96" w:rsidRDefault="00D73C96">
      <w:pPr>
        <w:rPr>
          <w:b/>
          <w:bCs/>
        </w:rPr>
      </w:pPr>
      <w:bookmarkStart w:id="0" w:name="SpecimenDocuments"/>
      <w:r>
        <w:rPr>
          <w:b/>
          <w:bCs/>
        </w:rPr>
        <w:br w:type="page"/>
      </w:r>
    </w:p>
    <w:p w14:paraId="51A9E859" w14:textId="0D69D66F" w:rsidR="002932AC" w:rsidRDefault="002932AC" w:rsidP="00A03D34">
      <w:pPr>
        <w:pStyle w:val="Heading2"/>
      </w:pPr>
      <w:r>
        <w:t>Specimen Documents</w:t>
      </w:r>
      <w:bookmarkEnd w:id="0"/>
      <w:r>
        <w:t xml:space="preserve"> </w:t>
      </w:r>
    </w:p>
    <w:p w14:paraId="7DA25EF0" w14:textId="3A5F5013" w:rsidR="002932AC" w:rsidRPr="00A03D34" w:rsidRDefault="002932AC" w:rsidP="000A3662">
      <w:pPr>
        <w:spacing w:before="120" w:after="120"/>
        <w:rPr>
          <w:rStyle w:val="Hyperlink"/>
        </w:rPr>
      </w:pPr>
      <w:r>
        <w:fldChar w:fldCharType="begin"/>
      </w:r>
      <w:r w:rsidR="00BC4689">
        <w:instrText>HYPERLINK "https://icas-com.uksouth01.umbraco.io/media/cc0jt2fa/aml-internal-suspicious-activity-reporting-specimen-document.docx"</w:instrText>
      </w:r>
      <w:r>
        <w:fldChar w:fldCharType="separate"/>
      </w:r>
      <w:r w:rsidRPr="00142E05">
        <w:rPr>
          <w:rStyle w:val="Hyperlink"/>
        </w:rPr>
        <w:t xml:space="preserve">Internal </w:t>
      </w:r>
      <w:r w:rsidR="00E55B1A" w:rsidRPr="00142E05">
        <w:rPr>
          <w:rStyle w:val="Hyperlink"/>
        </w:rPr>
        <w:t>Suspicious Activity Report Template</w:t>
      </w:r>
      <w:r>
        <w:fldChar w:fldCharType="end"/>
      </w:r>
      <w:r w:rsidR="00E55B1A" w:rsidRPr="00A03D34">
        <w:rPr>
          <w:rStyle w:val="Hyperlink"/>
        </w:rPr>
        <w:t xml:space="preserve"> </w:t>
      </w:r>
    </w:p>
    <w:p w14:paraId="56BCFEA1" w14:textId="3672502D" w:rsidR="00836247" w:rsidRDefault="0040042F" w:rsidP="00A03D34">
      <w:pPr>
        <w:pStyle w:val="Heading2"/>
      </w:pPr>
      <w:r w:rsidRPr="34FD072D">
        <w:t>Useful links</w:t>
      </w:r>
    </w:p>
    <w:bookmarkStart w:id="1" w:name="_Hlk66288790"/>
    <w:p w14:paraId="532B9072" w14:textId="5A62DE07" w:rsidR="00AD47A0" w:rsidRPr="00A03D34" w:rsidRDefault="00F5368B" w:rsidP="00DD2889">
      <w:pPr>
        <w:spacing w:before="120" w:after="120"/>
        <w:jc w:val="both"/>
        <w:rPr>
          <w:rStyle w:val="Hyperlink"/>
        </w:rPr>
      </w:pPr>
      <w:r w:rsidRPr="00A03D34">
        <w:rPr>
          <w:rStyle w:val="Hyperlink"/>
          <w:lang w:val="en-US"/>
        </w:rPr>
        <w:fldChar w:fldCharType="begin"/>
      </w:r>
      <w:r w:rsidR="00931767" w:rsidRPr="00A03D34">
        <w:rPr>
          <w:rStyle w:val="Hyperlink"/>
        </w:rPr>
        <w:instrText>HYPERLINK "https://www.ccab.org.uk/anti-money-laundering-and-counter-terrorist-financing-guidance-for-the-accountancy-sector-2023/"</w:instrText>
      </w:r>
      <w:r w:rsidRPr="00A03D34">
        <w:rPr>
          <w:rStyle w:val="Hyperlink"/>
          <w:lang w:val="en-US"/>
        </w:rPr>
      </w:r>
      <w:r w:rsidRPr="00A03D34">
        <w:rPr>
          <w:rStyle w:val="Hyperlink"/>
          <w:lang w:val="en-US"/>
        </w:rPr>
        <w:fldChar w:fldCharType="separate"/>
      </w:r>
      <w:r w:rsidR="00AD47A0" w:rsidRPr="00A03D34">
        <w:rPr>
          <w:rStyle w:val="Hyperlink"/>
        </w:rPr>
        <w:t>CCAB – Anti-money laundering guidance for the accountancy sector</w:t>
      </w:r>
      <w:r w:rsidRPr="00A03D34">
        <w:rPr>
          <w:rStyle w:val="Hyperlink"/>
        </w:rPr>
        <w:fldChar w:fldCharType="end"/>
      </w:r>
      <w:bookmarkEnd w:id="1"/>
    </w:p>
    <w:p w14:paraId="3419FA20" w14:textId="043E6052" w:rsidR="00501F84" w:rsidRPr="00A03D34" w:rsidRDefault="00501F84" w:rsidP="00DD2889">
      <w:pPr>
        <w:spacing w:before="120" w:after="120"/>
        <w:jc w:val="both"/>
        <w:rPr>
          <w:rStyle w:val="Hyperlink"/>
        </w:rPr>
      </w:pPr>
      <w:hyperlink r:id="rId26" w:history="1">
        <w:r w:rsidRPr="00FB2DC7">
          <w:rPr>
            <w:rStyle w:val="Hyperlink"/>
          </w:rPr>
          <w:t>CCAB – Defence against money laundering guidance for Insolvency Practitioners</w:t>
        </w:r>
      </w:hyperlink>
    </w:p>
    <w:p w14:paraId="5DE65B64" w14:textId="199DBB6A" w:rsidR="00144954" w:rsidRPr="00A03D34" w:rsidRDefault="00836247" w:rsidP="00DD2889">
      <w:pPr>
        <w:spacing w:before="120" w:after="120"/>
        <w:jc w:val="both"/>
        <w:rPr>
          <w:rStyle w:val="Hyperlink"/>
        </w:rPr>
      </w:pPr>
      <w:hyperlink r:id="rId27" w:history="1">
        <w:r w:rsidRPr="00A03D34">
          <w:rPr>
            <w:rStyle w:val="Hyperlink"/>
          </w:rPr>
          <w:t>National Crime Agency</w:t>
        </w:r>
        <w:r w:rsidR="008C65B9" w:rsidRPr="00A03D34">
          <w:rPr>
            <w:rStyle w:val="Hyperlink"/>
          </w:rPr>
          <w:t xml:space="preserve"> Suspicious Activity Reports homepage </w:t>
        </w:r>
      </w:hyperlink>
      <w:r w:rsidRPr="00A03D34">
        <w:rPr>
          <w:rStyle w:val="Hyperlink"/>
        </w:rPr>
        <w:t xml:space="preserve"> </w:t>
      </w:r>
    </w:p>
    <w:p w14:paraId="2731588E" w14:textId="1D56055C" w:rsidR="00CF4CF7" w:rsidRPr="00A03D34" w:rsidRDefault="00A83DAD" w:rsidP="00DD2889">
      <w:pPr>
        <w:spacing w:before="120" w:after="120"/>
        <w:jc w:val="both"/>
        <w:rPr>
          <w:rStyle w:val="Hyperlink"/>
        </w:rPr>
      </w:pPr>
      <w:hyperlink r:id="rId28" w:history="1">
        <w:r w:rsidRPr="00427A1A">
          <w:rPr>
            <w:rStyle w:val="Hyperlink"/>
          </w:rPr>
          <w:t>National Crime Agency – Guidance on Submitting Better Quality SARs</w:t>
        </w:r>
      </w:hyperlink>
    </w:p>
    <w:p w14:paraId="432285C8" w14:textId="148C6AAE" w:rsidR="003A51DE" w:rsidRPr="00A03D34" w:rsidRDefault="00537E59" w:rsidP="00DD2889">
      <w:pPr>
        <w:spacing w:before="120" w:after="120"/>
        <w:jc w:val="both"/>
        <w:rPr>
          <w:rStyle w:val="Hyperlink"/>
        </w:rPr>
      </w:pPr>
      <w:hyperlink r:id="rId29" w:history="1">
        <w:r w:rsidRPr="00A03D34">
          <w:rPr>
            <w:rStyle w:val="Hyperlink"/>
          </w:rPr>
          <w:t>National Crime Agency – SAR Glossary Codes and Reporting Routes</w:t>
        </w:r>
      </w:hyperlink>
    </w:p>
    <w:p w14:paraId="42664E64" w14:textId="5B904409" w:rsidR="00716E24" w:rsidRPr="00A03D34" w:rsidRDefault="00716E24" w:rsidP="00DD2889">
      <w:pPr>
        <w:spacing w:before="120" w:after="120"/>
        <w:jc w:val="both"/>
        <w:rPr>
          <w:rStyle w:val="Hyperlink"/>
        </w:rPr>
      </w:pPr>
      <w:hyperlink r:id="rId30" w:history="1">
        <w:r w:rsidRPr="00C173FE">
          <w:rPr>
            <w:rStyle w:val="Hyperlink"/>
          </w:rPr>
          <w:t>National Crime Agency – Requesting a defence under POCA and TACT</w:t>
        </w:r>
      </w:hyperlink>
    </w:p>
    <w:p w14:paraId="3D2F62DE" w14:textId="646990A2" w:rsidR="007D007C" w:rsidRPr="00A03D34" w:rsidRDefault="00532CB7" w:rsidP="00DD2889">
      <w:pPr>
        <w:spacing w:before="120" w:after="120"/>
        <w:jc w:val="both"/>
        <w:rPr>
          <w:rStyle w:val="Hyperlink"/>
        </w:rPr>
      </w:pPr>
      <w:hyperlink r:id="rId31" w:history="1">
        <w:r w:rsidRPr="00A03D34">
          <w:rPr>
            <w:rStyle w:val="Hyperlink"/>
          </w:rPr>
          <w:t>Proceeds of Crime Act (2002) (POCA)</w:t>
        </w:r>
      </w:hyperlink>
    </w:p>
    <w:p w14:paraId="40DE793C" w14:textId="043B6532" w:rsidR="002E1442" w:rsidRPr="00A03D34" w:rsidRDefault="00487CA3" w:rsidP="00DD2889">
      <w:pPr>
        <w:spacing w:before="120" w:after="120"/>
        <w:jc w:val="both"/>
        <w:rPr>
          <w:rStyle w:val="Hyperlink"/>
        </w:rPr>
      </w:pPr>
      <w:hyperlink r:id="rId32" w:history="1">
        <w:r w:rsidRPr="00A03D34">
          <w:rPr>
            <w:rStyle w:val="Hyperlink"/>
          </w:rPr>
          <w:t>Terrorism Act 2000</w:t>
        </w:r>
      </w:hyperlink>
    </w:p>
    <w:p w14:paraId="04799376" w14:textId="567D82D1" w:rsidR="00DA171C" w:rsidRPr="00DA171C" w:rsidRDefault="00DA171C" w:rsidP="00A03D34">
      <w:pPr>
        <w:pStyle w:val="Heading2"/>
      </w:pPr>
      <w:r w:rsidRPr="34FD072D">
        <w:t>Further information</w:t>
      </w:r>
      <w:r w:rsidR="2A0D2C4D" w:rsidRPr="34FD072D">
        <w:t xml:space="preserve"> and assistance</w:t>
      </w:r>
    </w:p>
    <w:p w14:paraId="5744074A" w14:textId="35E5CC23" w:rsidR="00D8319B" w:rsidRDefault="2A0D2C4D" w:rsidP="00A03D34">
      <w:pPr>
        <w:pStyle w:val="ICASBody"/>
      </w:pPr>
      <w:r w:rsidRPr="34FD072D">
        <w:t xml:space="preserve">Further assistance and information can be obtained </w:t>
      </w:r>
      <w:r w:rsidR="00562E5D">
        <w:t>by contacting the</w:t>
      </w:r>
      <w:r w:rsidR="00D8319B">
        <w:t xml:space="preserve"> Practice Support team via the</w:t>
      </w:r>
      <w:r w:rsidRPr="34FD072D">
        <w:t xml:space="preserve"> </w:t>
      </w:r>
      <w:hyperlink r:id="rId33">
        <w:r w:rsidRPr="00A03D34">
          <w:rPr>
            <w:rStyle w:val="Hyperlink"/>
          </w:rPr>
          <w:t>ICAS Technical helpdesk</w:t>
        </w:r>
      </w:hyperlink>
      <w:r w:rsidR="00AF4726">
        <w:t>.</w:t>
      </w:r>
      <w:r w:rsidR="00085F86">
        <w:t xml:space="preserve"> </w:t>
      </w:r>
    </w:p>
    <w:p w14:paraId="09DB4D1F" w14:textId="377CE3E2" w:rsidR="008A1834" w:rsidRDefault="00085F86" w:rsidP="00A03D34">
      <w:pPr>
        <w:pStyle w:val="ICASBody"/>
      </w:pPr>
      <w:r>
        <w:t xml:space="preserve">Please note the NCA is unable to give advice on </w:t>
      </w:r>
      <w:proofErr w:type="gramStart"/>
      <w:r>
        <w:t>whether or not</w:t>
      </w:r>
      <w:proofErr w:type="gramEnd"/>
      <w:r>
        <w:t xml:space="preserve"> an individual or organisation should submit a SAR. </w:t>
      </w:r>
      <w:r w:rsidR="003A4933">
        <w:t xml:space="preserve">Queries of this nature should be directed to your AML supervisor. </w:t>
      </w:r>
    </w:p>
    <w:p w14:paraId="191DB050" w14:textId="77777777" w:rsidR="00B42F5F" w:rsidRPr="00144954" w:rsidRDefault="00B42F5F" w:rsidP="00B42F5F">
      <w:pPr>
        <w:spacing w:after="120"/>
        <w:jc w:val="both"/>
        <w:rPr>
          <w:sz w:val="20"/>
          <w:szCs w:val="20"/>
        </w:rPr>
      </w:pPr>
    </w:p>
    <w:p w14:paraId="554DCE4A" w14:textId="77777777" w:rsidR="000A3662" w:rsidRDefault="000A3662" w:rsidP="00B42F5F">
      <w:pPr>
        <w:spacing w:after="120"/>
        <w:jc w:val="both"/>
        <w:rPr>
          <w:b/>
          <w:bCs/>
          <w:sz w:val="20"/>
          <w:szCs w:val="20"/>
        </w:rPr>
      </w:pPr>
    </w:p>
    <w:p w14:paraId="6C34F7FD" w14:textId="77777777" w:rsidR="009B45B9" w:rsidRDefault="009B45B9" w:rsidP="00B42F5F">
      <w:pPr>
        <w:spacing w:after="120"/>
        <w:jc w:val="both"/>
        <w:rPr>
          <w:b/>
          <w:bCs/>
          <w:sz w:val="20"/>
          <w:szCs w:val="20"/>
        </w:rPr>
      </w:pPr>
    </w:p>
    <w:p w14:paraId="62FE098F" w14:textId="77777777" w:rsidR="009B45B9" w:rsidRDefault="009B45B9" w:rsidP="00B42F5F">
      <w:pPr>
        <w:spacing w:after="120"/>
        <w:jc w:val="both"/>
        <w:rPr>
          <w:b/>
          <w:bCs/>
          <w:sz w:val="20"/>
          <w:szCs w:val="20"/>
        </w:rPr>
      </w:pPr>
    </w:p>
    <w:p w14:paraId="0F8156AA" w14:textId="77777777" w:rsidR="009B45B9" w:rsidRDefault="009B45B9" w:rsidP="00B42F5F">
      <w:pPr>
        <w:spacing w:after="120"/>
        <w:jc w:val="both"/>
        <w:rPr>
          <w:b/>
          <w:bCs/>
          <w:sz w:val="20"/>
          <w:szCs w:val="20"/>
        </w:rPr>
      </w:pPr>
    </w:p>
    <w:p w14:paraId="0AB3D3D7" w14:textId="77777777" w:rsidR="003A4933" w:rsidRDefault="003A4933" w:rsidP="00B42F5F">
      <w:pPr>
        <w:spacing w:after="120"/>
        <w:jc w:val="both"/>
        <w:rPr>
          <w:b/>
          <w:bCs/>
          <w:sz w:val="20"/>
          <w:szCs w:val="20"/>
        </w:rPr>
      </w:pPr>
    </w:p>
    <w:p w14:paraId="3D090765" w14:textId="77777777" w:rsidR="003A4933" w:rsidRDefault="003A4933" w:rsidP="00B42F5F">
      <w:pPr>
        <w:spacing w:after="120"/>
        <w:jc w:val="both"/>
        <w:rPr>
          <w:b/>
          <w:bCs/>
          <w:sz w:val="20"/>
          <w:szCs w:val="20"/>
        </w:rPr>
      </w:pPr>
    </w:p>
    <w:p w14:paraId="6AFDDDB0" w14:textId="77777777" w:rsidR="003A4933" w:rsidRDefault="003A4933" w:rsidP="00B42F5F">
      <w:pPr>
        <w:spacing w:after="120"/>
        <w:jc w:val="both"/>
        <w:rPr>
          <w:b/>
          <w:bCs/>
          <w:sz w:val="20"/>
          <w:szCs w:val="20"/>
        </w:rPr>
      </w:pPr>
    </w:p>
    <w:p w14:paraId="624824E6" w14:textId="77777777" w:rsidR="004C44D8" w:rsidRDefault="004C44D8" w:rsidP="00B42F5F">
      <w:pPr>
        <w:spacing w:after="120"/>
        <w:jc w:val="both"/>
        <w:rPr>
          <w:b/>
          <w:bCs/>
          <w:sz w:val="20"/>
          <w:szCs w:val="20"/>
        </w:rPr>
      </w:pPr>
    </w:p>
    <w:p w14:paraId="1F3011DE" w14:textId="77777777" w:rsidR="003A4933" w:rsidRDefault="003A4933" w:rsidP="00B42F5F">
      <w:pPr>
        <w:spacing w:after="120"/>
        <w:jc w:val="both"/>
        <w:rPr>
          <w:b/>
          <w:bCs/>
          <w:sz w:val="20"/>
          <w:szCs w:val="20"/>
        </w:rPr>
      </w:pPr>
    </w:p>
    <w:p w14:paraId="74A71A3C" w14:textId="77777777" w:rsidR="009B45B9" w:rsidRDefault="009B45B9" w:rsidP="00B42F5F">
      <w:pPr>
        <w:spacing w:after="120"/>
        <w:jc w:val="both"/>
        <w:rPr>
          <w:b/>
          <w:bCs/>
          <w:sz w:val="20"/>
          <w:szCs w:val="20"/>
        </w:rPr>
      </w:pPr>
    </w:p>
    <w:p w14:paraId="4A21B02D" w14:textId="2144C7E6" w:rsidR="00880E84" w:rsidRPr="004C44D8" w:rsidRDefault="00880E84" w:rsidP="00A03D34">
      <w:pPr>
        <w:pStyle w:val="ICASBoxOutHeading"/>
        <w:rPr>
          <w:sz w:val="18"/>
          <w:szCs w:val="18"/>
        </w:rPr>
      </w:pPr>
      <w:r w:rsidRPr="004C44D8">
        <w:rPr>
          <w:sz w:val="18"/>
          <w:szCs w:val="18"/>
        </w:rPr>
        <w:t>Disclaimer:</w:t>
      </w:r>
    </w:p>
    <w:p w14:paraId="0970923B" w14:textId="77777777" w:rsidR="00880E84" w:rsidRPr="004C44D8" w:rsidRDefault="00880E84" w:rsidP="00A03D34">
      <w:pPr>
        <w:pStyle w:val="ICASBoxOutBody"/>
        <w:rPr>
          <w:sz w:val="18"/>
          <w:szCs w:val="18"/>
        </w:rPr>
      </w:pPr>
    </w:p>
    <w:p w14:paraId="3EA699C8" w14:textId="3FE00C01" w:rsidR="00880E84" w:rsidRPr="004C44D8" w:rsidRDefault="00880E84" w:rsidP="00A03D34">
      <w:pPr>
        <w:pStyle w:val="ICASBoxOutBody"/>
        <w:rPr>
          <w:sz w:val="18"/>
          <w:szCs w:val="18"/>
        </w:rPr>
      </w:pPr>
      <w:r w:rsidRPr="004C44D8">
        <w:rPr>
          <w:sz w:val="18"/>
          <w:szCs w:val="18"/>
        </w:rPr>
        <w:t xml:space="preserve">This document has been published by ICAS for information purposes only and ICAS cannot accept responsibility for any person acting or refraining to act </w:t>
      </w:r>
      <w:proofErr w:type="gramStart"/>
      <w:r w:rsidRPr="004C44D8">
        <w:rPr>
          <w:sz w:val="18"/>
          <w:szCs w:val="18"/>
        </w:rPr>
        <w:t>as a result of</w:t>
      </w:r>
      <w:proofErr w:type="gramEnd"/>
      <w:r w:rsidRPr="004C44D8">
        <w:rPr>
          <w:sz w:val="18"/>
          <w:szCs w:val="18"/>
        </w:rPr>
        <w:t xml:space="preserve"> any material contained within this guidance. Recipients should make their own independent evaluation of this information and no action should be taken, solely relying on it. The </w:t>
      </w:r>
      <w:r w:rsidR="006C31CC" w:rsidRPr="004C44D8">
        <w:rPr>
          <w:sz w:val="18"/>
          <w:szCs w:val="18"/>
        </w:rPr>
        <w:t>document</w:t>
      </w:r>
      <w:r w:rsidRPr="004C44D8">
        <w:rPr>
          <w:sz w:val="18"/>
          <w:szCs w:val="18"/>
        </w:rPr>
        <w:t xml:space="preserve"> is intended to assist members in the general application of the </w:t>
      </w:r>
      <w:proofErr w:type="gramStart"/>
      <w:r w:rsidR="006C31CC" w:rsidRPr="004C44D8">
        <w:rPr>
          <w:sz w:val="18"/>
          <w:szCs w:val="18"/>
        </w:rPr>
        <w:t>subject</w:t>
      </w:r>
      <w:r w:rsidRPr="004C44D8">
        <w:rPr>
          <w:sz w:val="18"/>
          <w:szCs w:val="18"/>
        </w:rPr>
        <w:t>,</w:t>
      </w:r>
      <w:proofErr w:type="gramEnd"/>
      <w:r w:rsidRPr="004C44D8">
        <w:rPr>
          <w:sz w:val="18"/>
          <w:szCs w:val="18"/>
        </w:rPr>
        <w:t xml:space="preserve"> it is not intended to cover all aspects. </w:t>
      </w:r>
    </w:p>
    <w:p w14:paraId="186657EA" w14:textId="77777777" w:rsidR="00880E84" w:rsidRPr="004C44D8" w:rsidRDefault="00880E84" w:rsidP="00A03D34">
      <w:pPr>
        <w:pStyle w:val="ICASBoxOutBody"/>
        <w:rPr>
          <w:sz w:val="18"/>
          <w:szCs w:val="18"/>
        </w:rPr>
      </w:pPr>
    </w:p>
    <w:p w14:paraId="29475FB6" w14:textId="77777777" w:rsidR="00880E84" w:rsidRPr="004C44D8" w:rsidRDefault="00880E84" w:rsidP="00A03D34">
      <w:pPr>
        <w:pStyle w:val="ICASBoxOutBody"/>
        <w:rPr>
          <w:sz w:val="18"/>
          <w:szCs w:val="18"/>
        </w:rPr>
      </w:pPr>
      <w:r w:rsidRPr="004C44D8">
        <w:rPr>
          <w:sz w:val="18"/>
          <w:szCs w:val="18"/>
        </w:rPr>
        <w:t>Whilst this information is believed to be reliable, ICAS, its employees and others involved in the production of this information do not provide any representation or warranty (express or implied) of any kind as regards the accuracy or completeness of this information, nor do they accept any responsibility or liability for loss or damage arising in any way from any use made of or reliance placed on this information.</w:t>
      </w:r>
    </w:p>
    <w:p w14:paraId="322F8955" w14:textId="77777777" w:rsidR="00880E84" w:rsidRPr="004C44D8" w:rsidRDefault="00880E84" w:rsidP="00A03D34">
      <w:pPr>
        <w:pStyle w:val="ICASBoxOutBody"/>
        <w:rPr>
          <w:sz w:val="18"/>
          <w:szCs w:val="18"/>
        </w:rPr>
      </w:pPr>
    </w:p>
    <w:p w14:paraId="305F1126" w14:textId="64B44EE7" w:rsidR="00880E84" w:rsidRPr="004C44D8" w:rsidRDefault="00880E84" w:rsidP="00A03D34">
      <w:pPr>
        <w:pStyle w:val="ICASBoxOutBody"/>
        <w:rPr>
          <w:sz w:val="18"/>
          <w:szCs w:val="18"/>
        </w:rPr>
      </w:pPr>
      <w:r w:rsidRPr="004C44D8">
        <w:rPr>
          <w:sz w:val="18"/>
          <w:szCs w:val="18"/>
        </w:rPr>
        <w:t>All information is believed to be correct at the time of publication.</w:t>
      </w:r>
    </w:p>
    <w:sectPr w:rsidR="00880E84" w:rsidRPr="004C44D8" w:rsidSect="00116EA1">
      <w:headerReference w:type="default" r:id="rId34"/>
      <w:footerReference w:type="default" r:id="rId35"/>
      <w:pgSz w:w="11910" w:h="16850"/>
      <w:pgMar w:top="1400" w:right="1278" w:bottom="1200" w:left="1300" w:header="720" w:footer="1012"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6BEDEF" w14:textId="77777777" w:rsidR="002642B3" w:rsidRDefault="002642B3">
      <w:r>
        <w:separator/>
      </w:r>
    </w:p>
  </w:endnote>
  <w:endnote w:type="continuationSeparator" w:id="0">
    <w:p w14:paraId="0FA2F605" w14:textId="77777777" w:rsidR="002642B3" w:rsidRDefault="002642B3">
      <w:r>
        <w:continuationSeparator/>
      </w:r>
    </w:p>
  </w:endnote>
  <w:endnote w:type="continuationNotice" w:id="1">
    <w:p w14:paraId="0FDD0D91" w14:textId="77777777" w:rsidR="002642B3" w:rsidRDefault="002642B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PGothic">
    <w:altName w:val="ＭＳ Ｐゴシック"/>
    <w:panose1 w:val="020B0600070205080204"/>
    <w:charset w:val="80"/>
    <w:family w:val="swiss"/>
    <w:pitch w:val="variable"/>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25BCA7" w14:textId="6C187C3A" w:rsidR="00033FD4" w:rsidRDefault="00033FD4">
    <w:pPr>
      <w:pStyle w:val="BodyText"/>
      <w:spacing w:line="14" w:lineRule="auto"/>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66D106" w14:textId="77777777" w:rsidR="002642B3" w:rsidRDefault="002642B3">
      <w:r>
        <w:separator/>
      </w:r>
    </w:p>
  </w:footnote>
  <w:footnote w:type="continuationSeparator" w:id="0">
    <w:p w14:paraId="651572B5" w14:textId="77777777" w:rsidR="002642B3" w:rsidRDefault="002642B3">
      <w:r>
        <w:continuationSeparator/>
      </w:r>
    </w:p>
  </w:footnote>
  <w:footnote w:type="continuationNotice" w:id="1">
    <w:p w14:paraId="2AE9F582" w14:textId="77777777" w:rsidR="002642B3" w:rsidRDefault="002642B3"/>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2C2A32" w14:textId="3616983F" w:rsidR="00DD2889" w:rsidRDefault="00D459EF">
    <w:pPr>
      <w:pStyle w:val="BodyText"/>
      <w:spacing w:line="14" w:lineRule="auto"/>
    </w:pPr>
    <w:r w:rsidRPr="00CC6145">
      <w:rPr>
        <w:noProof/>
        <w:color w:val="8493A8"/>
      </w:rPr>
      <w:drawing>
        <wp:anchor distT="0" distB="0" distL="114300" distR="114300" simplePos="0" relativeHeight="251658240" behindDoc="0" locked="0" layoutInCell="1" allowOverlap="1" wp14:anchorId="1BDB7DA2" wp14:editId="674438C6">
          <wp:simplePos x="0" y="0"/>
          <wp:positionH relativeFrom="margin">
            <wp:posOffset>5324475</wp:posOffset>
          </wp:positionH>
          <wp:positionV relativeFrom="paragraph">
            <wp:posOffset>-190500</wp:posOffset>
          </wp:positionV>
          <wp:extent cx="596265" cy="615950"/>
          <wp:effectExtent l="0" t="0" r="0" b="0"/>
          <wp:wrapThrough wrapText="bothSides">
            <wp:wrapPolygon edited="0">
              <wp:start x="690" y="0"/>
              <wp:lineTo x="0" y="668"/>
              <wp:lineTo x="0" y="20709"/>
              <wp:lineTo x="20013" y="20709"/>
              <wp:lineTo x="20703" y="19373"/>
              <wp:lineTo x="20703" y="0"/>
              <wp:lineTo x="690" y="0"/>
            </wp:wrapPolygon>
          </wp:wrapThrough>
          <wp:docPr id="972392436" name="Picture 972392436" descr="A blue square with white letters&#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44857606" name="Picture 1" descr="A blue square with white letters&#10;&#10;Description automatically generated with medium confidence"/>
                  <pic:cNvPicPr/>
                </pic:nvPicPr>
                <pic:blipFill>
                  <a:blip r:embed="rId1">
                    <a:extLst>
                      <a:ext uri="{28A0092B-C50C-407E-A947-70E740481C1C}">
                        <a14:useLocalDpi xmlns:a14="http://schemas.microsoft.com/office/drawing/2010/main" val="0"/>
                      </a:ext>
                    </a:extLst>
                  </a:blip>
                  <a:stretch>
                    <a:fillRect/>
                  </a:stretch>
                </pic:blipFill>
                <pic:spPr>
                  <a:xfrm>
                    <a:off x="0" y="0"/>
                    <a:ext cx="596265" cy="615950"/>
                  </a:xfrm>
                  <a:prstGeom prst="rect">
                    <a:avLst/>
                  </a:prstGeom>
                </pic:spPr>
              </pic:pic>
            </a:graphicData>
          </a:graphic>
          <wp14:sizeRelH relativeFrom="margin">
            <wp14:pctWidth>0</wp14:pctWidth>
          </wp14:sizeRelH>
          <wp14:sizeRelV relativeFrom="margin">
            <wp14:pctHeight>0</wp14:pctHeight>
          </wp14:sizeRelV>
        </wp:anchor>
      </w:drawing>
    </w:r>
  </w:p>
  <w:p w14:paraId="5776E989" w14:textId="0AB049D1" w:rsidR="00033FD4" w:rsidRDefault="00033FD4">
    <w:pPr>
      <w:pStyle w:val="BodyText"/>
      <w:spacing w:line="14" w:lineRule="aut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6262B8"/>
    <w:multiLevelType w:val="hybridMultilevel"/>
    <w:tmpl w:val="F552CD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0F84027"/>
    <w:multiLevelType w:val="hybridMultilevel"/>
    <w:tmpl w:val="D92292A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19D7926"/>
    <w:multiLevelType w:val="hybridMultilevel"/>
    <w:tmpl w:val="EA0EB332"/>
    <w:lvl w:ilvl="0" w:tplc="91528ACA">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6A025E7"/>
    <w:multiLevelType w:val="hybridMultilevel"/>
    <w:tmpl w:val="6ABC4864"/>
    <w:lvl w:ilvl="0" w:tplc="29B8DA58">
      <w:start w:val="1"/>
      <w:numFmt w:val="decimal"/>
      <w:lvlText w:val="%1."/>
      <w:lvlJc w:val="left"/>
      <w:pPr>
        <w:ind w:left="720" w:hanging="360"/>
      </w:pPr>
      <w:rPr>
        <w:rFonts w:hint="default"/>
      </w:rPr>
    </w:lvl>
    <w:lvl w:ilvl="1" w:tplc="08090001">
      <w:start w:val="1"/>
      <w:numFmt w:val="bullet"/>
      <w:lvlText w:val=""/>
      <w:lvlJc w:val="left"/>
      <w:pPr>
        <w:ind w:left="1440" w:hanging="360"/>
      </w:pPr>
      <w:rPr>
        <w:rFonts w:ascii="Symbol" w:hAnsi="Symbol"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8FD4E7F"/>
    <w:multiLevelType w:val="hybridMultilevel"/>
    <w:tmpl w:val="AC9C77A4"/>
    <w:lvl w:ilvl="0" w:tplc="2B78F306">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F8568C8"/>
    <w:multiLevelType w:val="hybridMultilevel"/>
    <w:tmpl w:val="3BF20E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0255090"/>
    <w:multiLevelType w:val="hybridMultilevel"/>
    <w:tmpl w:val="C91E0C5A"/>
    <w:lvl w:ilvl="0" w:tplc="08090001">
      <w:start w:val="1"/>
      <w:numFmt w:val="bullet"/>
      <w:lvlText w:val=""/>
      <w:lvlJc w:val="left"/>
      <w:pPr>
        <w:ind w:left="1440" w:hanging="360"/>
      </w:pPr>
      <w:rPr>
        <w:rFonts w:ascii="Symbol" w:hAnsi="Symbol" w:hint="default"/>
      </w:rPr>
    </w:lvl>
    <w:lvl w:ilvl="1" w:tplc="08090019">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7" w15:restartNumberingAfterBreak="0">
    <w:nsid w:val="203552E8"/>
    <w:multiLevelType w:val="hybridMultilevel"/>
    <w:tmpl w:val="5B7AD6C6"/>
    <w:lvl w:ilvl="0" w:tplc="5B58D268">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214629AA"/>
    <w:multiLevelType w:val="hybridMultilevel"/>
    <w:tmpl w:val="C032D80E"/>
    <w:lvl w:ilvl="0" w:tplc="1FB25474">
      <w:start w:val="1"/>
      <w:numFmt w:val="bullet"/>
      <w:pStyle w:val="ICASBulletssecondlevel"/>
      <w:lvlText w:val=""/>
      <w:lvlJc w:val="left"/>
      <w:pPr>
        <w:ind w:left="454" w:hanging="170"/>
      </w:pPr>
      <w:rPr>
        <w:rFonts w:ascii="Symbol" w:hAnsi="Symbol" w:hint="default"/>
        <w:color w:val="58585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38269AD"/>
    <w:multiLevelType w:val="hybridMultilevel"/>
    <w:tmpl w:val="D3BC4D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72164B1"/>
    <w:multiLevelType w:val="hybridMultilevel"/>
    <w:tmpl w:val="E1727C08"/>
    <w:lvl w:ilvl="0" w:tplc="29B8DA58">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2D9E35D3"/>
    <w:multiLevelType w:val="hybridMultilevel"/>
    <w:tmpl w:val="522493B2"/>
    <w:lvl w:ilvl="0" w:tplc="A59AA71C">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2E4728B2"/>
    <w:multiLevelType w:val="hybridMultilevel"/>
    <w:tmpl w:val="76A079C4"/>
    <w:lvl w:ilvl="0" w:tplc="E88CF458">
      <w:start w:val="17"/>
      <w:numFmt w:val="bullet"/>
      <w:lvlText w:val="-"/>
      <w:lvlJc w:val="left"/>
      <w:pPr>
        <w:ind w:left="720" w:hanging="360"/>
      </w:pPr>
      <w:rPr>
        <w:rFonts w:ascii="Arial" w:eastAsia="Arial"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9680379"/>
    <w:multiLevelType w:val="hybridMultilevel"/>
    <w:tmpl w:val="EABA9EA8"/>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3E866720"/>
    <w:multiLevelType w:val="hybridMultilevel"/>
    <w:tmpl w:val="BB66E11A"/>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416E48AB"/>
    <w:multiLevelType w:val="hybridMultilevel"/>
    <w:tmpl w:val="2668F1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19C4427"/>
    <w:multiLevelType w:val="hybridMultilevel"/>
    <w:tmpl w:val="AE629352"/>
    <w:lvl w:ilvl="0" w:tplc="D1A2EC74">
      <w:start w:val="17"/>
      <w:numFmt w:val="bullet"/>
      <w:lvlText w:val="-"/>
      <w:lvlJc w:val="left"/>
      <w:pPr>
        <w:ind w:left="720" w:hanging="360"/>
      </w:pPr>
      <w:rPr>
        <w:rFonts w:ascii="Arial" w:eastAsia="Arial"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3640AD0"/>
    <w:multiLevelType w:val="hybridMultilevel"/>
    <w:tmpl w:val="60BEB4C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4674214A"/>
    <w:multiLevelType w:val="hybridMultilevel"/>
    <w:tmpl w:val="A0963E2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4E6840CF"/>
    <w:multiLevelType w:val="hybridMultilevel"/>
    <w:tmpl w:val="18887D50"/>
    <w:lvl w:ilvl="0" w:tplc="22FCA05A">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4EAB2BC4"/>
    <w:multiLevelType w:val="hybridMultilevel"/>
    <w:tmpl w:val="6DDE498E"/>
    <w:lvl w:ilvl="0" w:tplc="08090017">
      <w:start w:val="1"/>
      <w:numFmt w:val="lowerLetter"/>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55C9502A"/>
    <w:multiLevelType w:val="hybridMultilevel"/>
    <w:tmpl w:val="E8525058"/>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2" w15:restartNumberingAfterBreak="0">
    <w:nsid w:val="56745B42"/>
    <w:multiLevelType w:val="hybridMultilevel"/>
    <w:tmpl w:val="25E64F42"/>
    <w:lvl w:ilvl="0" w:tplc="EBF80BFE">
      <w:start w:val="1"/>
      <w:numFmt w:val="bullet"/>
      <w:pStyle w:val="Title"/>
      <w:lvlText w:val=""/>
      <w:lvlJc w:val="left"/>
      <w:pPr>
        <w:ind w:left="720" w:hanging="360"/>
      </w:pPr>
      <w:rPr>
        <w:rFonts w:ascii="Symbol" w:hAnsi="Symbol" w:hint="default"/>
        <w:color w:val="4D46D9" w:themeColor="text2"/>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3" w15:restartNumberingAfterBreak="0">
    <w:nsid w:val="58B67C1C"/>
    <w:multiLevelType w:val="hybridMultilevel"/>
    <w:tmpl w:val="26CEFD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5BE6488F"/>
    <w:multiLevelType w:val="hybridMultilevel"/>
    <w:tmpl w:val="847E633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5C74138C"/>
    <w:multiLevelType w:val="hybridMultilevel"/>
    <w:tmpl w:val="064280E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5DCE7E0A"/>
    <w:multiLevelType w:val="hybridMultilevel"/>
    <w:tmpl w:val="54386FE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61F66014"/>
    <w:multiLevelType w:val="hybridMultilevel"/>
    <w:tmpl w:val="ED1E60A0"/>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8" w15:restartNumberingAfterBreak="0">
    <w:nsid w:val="663267B7"/>
    <w:multiLevelType w:val="hybridMultilevel"/>
    <w:tmpl w:val="4568FA8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6B2247ED"/>
    <w:multiLevelType w:val="hybridMultilevel"/>
    <w:tmpl w:val="BB66E11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6B560794"/>
    <w:multiLevelType w:val="hybridMultilevel"/>
    <w:tmpl w:val="EFA4FA3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6BCB1ACC"/>
    <w:multiLevelType w:val="hybridMultilevel"/>
    <w:tmpl w:val="E9E217C0"/>
    <w:lvl w:ilvl="0" w:tplc="0809000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2" w15:restartNumberingAfterBreak="0">
    <w:nsid w:val="6DF80C1D"/>
    <w:multiLevelType w:val="hybridMultilevel"/>
    <w:tmpl w:val="E0603CC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15:restartNumberingAfterBreak="0">
    <w:nsid w:val="73736422"/>
    <w:multiLevelType w:val="hybridMultilevel"/>
    <w:tmpl w:val="90301C6E"/>
    <w:lvl w:ilvl="0" w:tplc="08090001">
      <w:start w:val="1"/>
      <w:numFmt w:val="bullet"/>
      <w:lvlText w:val=""/>
      <w:lvlJc w:val="left"/>
      <w:pPr>
        <w:ind w:left="770" w:hanging="360"/>
      </w:pPr>
      <w:rPr>
        <w:rFonts w:ascii="Symbol" w:hAnsi="Symbol" w:hint="default"/>
      </w:rPr>
    </w:lvl>
    <w:lvl w:ilvl="1" w:tplc="08090003" w:tentative="1">
      <w:start w:val="1"/>
      <w:numFmt w:val="bullet"/>
      <w:lvlText w:val="o"/>
      <w:lvlJc w:val="left"/>
      <w:pPr>
        <w:ind w:left="1490" w:hanging="360"/>
      </w:pPr>
      <w:rPr>
        <w:rFonts w:ascii="Courier New" w:hAnsi="Courier New" w:cs="Courier New" w:hint="default"/>
      </w:rPr>
    </w:lvl>
    <w:lvl w:ilvl="2" w:tplc="08090005" w:tentative="1">
      <w:start w:val="1"/>
      <w:numFmt w:val="bullet"/>
      <w:lvlText w:val=""/>
      <w:lvlJc w:val="left"/>
      <w:pPr>
        <w:ind w:left="2210" w:hanging="360"/>
      </w:pPr>
      <w:rPr>
        <w:rFonts w:ascii="Wingdings" w:hAnsi="Wingdings" w:hint="default"/>
      </w:rPr>
    </w:lvl>
    <w:lvl w:ilvl="3" w:tplc="08090001" w:tentative="1">
      <w:start w:val="1"/>
      <w:numFmt w:val="bullet"/>
      <w:lvlText w:val=""/>
      <w:lvlJc w:val="left"/>
      <w:pPr>
        <w:ind w:left="2930" w:hanging="360"/>
      </w:pPr>
      <w:rPr>
        <w:rFonts w:ascii="Symbol" w:hAnsi="Symbol" w:hint="default"/>
      </w:rPr>
    </w:lvl>
    <w:lvl w:ilvl="4" w:tplc="08090003" w:tentative="1">
      <w:start w:val="1"/>
      <w:numFmt w:val="bullet"/>
      <w:lvlText w:val="o"/>
      <w:lvlJc w:val="left"/>
      <w:pPr>
        <w:ind w:left="3650" w:hanging="360"/>
      </w:pPr>
      <w:rPr>
        <w:rFonts w:ascii="Courier New" w:hAnsi="Courier New" w:cs="Courier New" w:hint="default"/>
      </w:rPr>
    </w:lvl>
    <w:lvl w:ilvl="5" w:tplc="08090005" w:tentative="1">
      <w:start w:val="1"/>
      <w:numFmt w:val="bullet"/>
      <w:lvlText w:val=""/>
      <w:lvlJc w:val="left"/>
      <w:pPr>
        <w:ind w:left="4370" w:hanging="360"/>
      </w:pPr>
      <w:rPr>
        <w:rFonts w:ascii="Wingdings" w:hAnsi="Wingdings" w:hint="default"/>
      </w:rPr>
    </w:lvl>
    <w:lvl w:ilvl="6" w:tplc="08090001" w:tentative="1">
      <w:start w:val="1"/>
      <w:numFmt w:val="bullet"/>
      <w:lvlText w:val=""/>
      <w:lvlJc w:val="left"/>
      <w:pPr>
        <w:ind w:left="5090" w:hanging="360"/>
      </w:pPr>
      <w:rPr>
        <w:rFonts w:ascii="Symbol" w:hAnsi="Symbol" w:hint="default"/>
      </w:rPr>
    </w:lvl>
    <w:lvl w:ilvl="7" w:tplc="08090003" w:tentative="1">
      <w:start w:val="1"/>
      <w:numFmt w:val="bullet"/>
      <w:lvlText w:val="o"/>
      <w:lvlJc w:val="left"/>
      <w:pPr>
        <w:ind w:left="5810" w:hanging="360"/>
      </w:pPr>
      <w:rPr>
        <w:rFonts w:ascii="Courier New" w:hAnsi="Courier New" w:cs="Courier New" w:hint="default"/>
      </w:rPr>
    </w:lvl>
    <w:lvl w:ilvl="8" w:tplc="08090005" w:tentative="1">
      <w:start w:val="1"/>
      <w:numFmt w:val="bullet"/>
      <w:lvlText w:val=""/>
      <w:lvlJc w:val="left"/>
      <w:pPr>
        <w:ind w:left="6530" w:hanging="360"/>
      </w:pPr>
      <w:rPr>
        <w:rFonts w:ascii="Wingdings" w:hAnsi="Wingdings" w:hint="default"/>
      </w:rPr>
    </w:lvl>
  </w:abstractNum>
  <w:abstractNum w:abstractNumId="34" w15:restartNumberingAfterBreak="0">
    <w:nsid w:val="74DA151F"/>
    <w:multiLevelType w:val="hybridMultilevel"/>
    <w:tmpl w:val="4D869AAA"/>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5" w15:restartNumberingAfterBreak="0">
    <w:nsid w:val="7B1F2C76"/>
    <w:multiLevelType w:val="hybridMultilevel"/>
    <w:tmpl w:val="BBAC37FA"/>
    <w:lvl w:ilvl="0" w:tplc="47E23124">
      <w:start w:val="2"/>
      <w:numFmt w:val="bullet"/>
      <w:lvlText w:val="-"/>
      <w:lvlJc w:val="left"/>
      <w:pPr>
        <w:ind w:left="720" w:hanging="360"/>
      </w:pPr>
      <w:rPr>
        <w:rFonts w:ascii="Arial" w:eastAsia="Arial"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7EE325F4"/>
    <w:multiLevelType w:val="hybridMultilevel"/>
    <w:tmpl w:val="8A28CBCC"/>
    <w:lvl w:ilvl="0" w:tplc="E0501802">
      <w:numFmt w:val="bullet"/>
      <w:lvlText w:val=""/>
      <w:lvlJc w:val="left"/>
      <w:pPr>
        <w:ind w:left="838" w:hanging="360"/>
      </w:pPr>
      <w:rPr>
        <w:rFonts w:ascii="Symbol" w:eastAsia="Symbol" w:hAnsi="Symbol" w:cs="Symbol" w:hint="default"/>
        <w:w w:val="99"/>
        <w:sz w:val="20"/>
        <w:szCs w:val="20"/>
        <w:lang w:val="en-US" w:eastAsia="en-US" w:bidi="en-US"/>
      </w:rPr>
    </w:lvl>
    <w:lvl w:ilvl="1" w:tplc="6C86EA34">
      <w:numFmt w:val="bullet"/>
      <w:lvlText w:val="•"/>
      <w:lvlJc w:val="left"/>
      <w:pPr>
        <w:ind w:left="1756" w:hanging="360"/>
      </w:pPr>
      <w:rPr>
        <w:rFonts w:hint="default"/>
        <w:lang w:val="en-US" w:eastAsia="en-US" w:bidi="en-US"/>
      </w:rPr>
    </w:lvl>
    <w:lvl w:ilvl="2" w:tplc="8E9EA608">
      <w:numFmt w:val="bullet"/>
      <w:lvlText w:val="•"/>
      <w:lvlJc w:val="left"/>
      <w:pPr>
        <w:ind w:left="2673" w:hanging="360"/>
      </w:pPr>
      <w:rPr>
        <w:rFonts w:hint="default"/>
        <w:lang w:val="en-US" w:eastAsia="en-US" w:bidi="en-US"/>
      </w:rPr>
    </w:lvl>
    <w:lvl w:ilvl="3" w:tplc="F9FAA308">
      <w:numFmt w:val="bullet"/>
      <w:lvlText w:val="•"/>
      <w:lvlJc w:val="left"/>
      <w:pPr>
        <w:ind w:left="3589" w:hanging="360"/>
      </w:pPr>
      <w:rPr>
        <w:rFonts w:hint="default"/>
        <w:lang w:val="en-US" w:eastAsia="en-US" w:bidi="en-US"/>
      </w:rPr>
    </w:lvl>
    <w:lvl w:ilvl="4" w:tplc="E154172A">
      <w:numFmt w:val="bullet"/>
      <w:lvlText w:val="•"/>
      <w:lvlJc w:val="left"/>
      <w:pPr>
        <w:ind w:left="4506" w:hanging="360"/>
      </w:pPr>
      <w:rPr>
        <w:rFonts w:hint="default"/>
        <w:lang w:val="en-US" w:eastAsia="en-US" w:bidi="en-US"/>
      </w:rPr>
    </w:lvl>
    <w:lvl w:ilvl="5" w:tplc="F9A6D7D6">
      <w:numFmt w:val="bullet"/>
      <w:lvlText w:val="•"/>
      <w:lvlJc w:val="left"/>
      <w:pPr>
        <w:ind w:left="5423" w:hanging="360"/>
      </w:pPr>
      <w:rPr>
        <w:rFonts w:hint="default"/>
        <w:lang w:val="en-US" w:eastAsia="en-US" w:bidi="en-US"/>
      </w:rPr>
    </w:lvl>
    <w:lvl w:ilvl="6" w:tplc="E06C3882">
      <w:numFmt w:val="bullet"/>
      <w:lvlText w:val="•"/>
      <w:lvlJc w:val="left"/>
      <w:pPr>
        <w:ind w:left="6339" w:hanging="360"/>
      </w:pPr>
      <w:rPr>
        <w:rFonts w:hint="default"/>
        <w:lang w:val="en-US" w:eastAsia="en-US" w:bidi="en-US"/>
      </w:rPr>
    </w:lvl>
    <w:lvl w:ilvl="7" w:tplc="25FCAB82">
      <w:numFmt w:val="bullet"/>
      <w:lvlText w:val="•"/>
      <w:lvlJc w:val="left"/>
      <w:pPr>
        <w:ind w:left="7256" w:hanging="360"/>
      </w:pPr>
      <w:rPr>
        <w:rFonts w:hint="default"/>
        <w:lang w:val="en-US" w:eastAsia="en-US" w:bidi="en-US"/>
      </w:rPr>
    </w:lvl>
    <w:lvl w:ilvl="8" w:tplc="2C9CDB8E">
      <w:numFmt w:val="bullet"/>
      <w:lvlText w:val="•"/>
      <w:lvlJc w:val="left"/>
      <w:pPr>
        <w:ind w:left="8173" w:hanging="360"/>
      </w:pPr>
      <w:rPr>
        <w:rFonts w:hint="default"/>
        <w:lang w:val="en-US" w:eastAsia="en-US" w:bidi="en-US"/>
      </w:rPr>
    </w:lvl>
  </w:abstractNum>
  <w:abstractNum w:abstractNumId="37" w15:restartNumberingAfterBreak="0">
    <w:nsid w:val="7F7F7405"/>
    <w:multiLevelType w:val="multilevel"/>
    <w:tmpl w:val="DE448242"/>
    <w:styleLink w:val="CurrentList1"/>
    <w:lvl w:ilvl="0">
      <w:start w:val="1"/>
      <w:numFmt w:val="bullet"/>
      <w:lvlText w:val=""/>
      <w:lvlJc w:val="left"/>
      <w:pPr>
        <w:ind w:left="720" w:hanging="360"/>
      </w:pPr>
      <w:rPr>
        <w:rFonts w:ascii="Symbol" w:hAnsi="Symbol" w:hint="default"/>
        <w:color w:val="auto"/>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16cid:durableId="1179926426">
    <w:abstractNumId w:val="36"/>
  </w:num>
  <w:num w:numId="2" w16cid:durableId="1309478587">
    <w:abstractNumId w:val="15"/>
  </w:num>
  <w:num w:numId="3" w16cid:durableId="777680979">
    <w:abstractNumId w:val="9"/>
  </w:num>
  <w:num w:numId="4" w16cid:durableId="2020309232">
    <w:abstractNumId w:val="23"/>
  </w:num>
  <w:num w:numId="5" w16cid:durableId="1912151300">
    <w:abstractNumId w:val="17"/>
  </w:num>
  <w:num w:numId="6" w16cid:durableId="1284193854">
    <w:abstractNumId w:val="28"/>
  </w:num>
  <w:num w:numId="7" w16cid:durableId="1840193268">
    <w:abstractNumId w:val="12"/>
  </w:num>
  <w:num w:numId="8" w16cid:durableId="1546524402">
    <w:abstractNumId w:val="16"/>
  </w:num>
  <w:num w:numId="9" w16cid:durableId="1432124548">
    <w:abstractNumId w:val="4"/>
  </w:num>
  <w:num w:numId="10" w16cid:durableId="2013870336">
    <w:abstractNumId w:val="19"/>
  </w:num>
  <w:num w:numId="11" w16cid:durableId="1943106725">
    <w:abstractNumId w:val="33"/>
  </w:num>
  <w:num w:numId="12" w16cid:durableId="1290742635">
    <w:abstractNumId w:val="7"/>
  </w:num>
  <w:num w:numId="13" w16cid:durableId="1347098346">
    <w:abstractNumId w:val="10"/>
  </w:num>
  <w:num w:numId="14" w16cid:durableId="1571235176">
    <w:abstractNumId w:val="3"/>
  </w:num>
  <w:num w:numId="15" w16cid:durableId="207185908">
    <w:abstractNumId w:val="2"/>
  </w:num>
  <w:num w:numId="16" w16cid:durableId="1251039497">
    <w:abstractNumId w:val="0"/>
  </w:num>
  <w:num w:numId="17" w16cid:durableId="1131944232">
    <w:abstractNumId w:val="5"/>
  </w:num>
  <w:num w:numId="18" w16cid:durableId="1709640135">
    <w:abstractNumId w:val="20"/>
  </w:num>
  <w:num w:numId="19" w16cid:durableId="1221866806">
    <w:abstractNumId w:val="6"/>
  </w:num>
  <w:num w:numId="20" w16cid:durableId="463815567">
    <w:abstractNumId w:val="11"/>
  </w:num>
  <w:num w:numId="21" w16cid:durableId="760108378">
    <w:abstractNumId w:val="35"/>
  </w:num>
  <w:num w:numId="22" w16cid:durableId="1892115752">
    <w:abstractNumId w:val="37"/>
  </w:num>
  <w:num w:numId="23" w16cid:durableId="1789616752">
    <w:abstractNumId w:val="8"/>
  </w:num>
  <w:num w:numId="24" w16cid:durableId="998509088">
    <w:abstractNumId w:val="22"/>
  </w:num>
  <w:num w:numId="25" w16cid:durableId="1856924584">
    <w:abstractNumId w:val="24"/>
  </w:num>
  <w:num w:numId="26" w16cid:durableId="773132064">
    <w:abstractNumId w:val="31"/>
  </w:num>
  <w:num w:numId="27" w16cid:durableId="1134371113">
    <w:abstractNumId w:val="21"/>
  </w:num>
  <w:num w:numId="28" w16cid:durableId="1122118220">
    <w:abstractNumId w:val="32"/>
  </w:num>
  <w:num w:numId="29" w16cid:durableId="689138769">
    <w:abstractNumId w:val="13"/>
  </w:num>
  <w:num w:numId="30" w16cid:durableId="2014063293">
    <w:abstractNumId w:val="27"/>
  </w:num>
  <w:num w:numId="31" w16cid:durableId="1666930118">
    <w:abstractNumId w:val="25"/>
  </w:num>
  <w:num w:numId="32" w16cid:durableId="924343247">
    <w:abstractNumId w:val="26"/>
  </w:num>
  <w:num w:numId="33" w16cid:durableId="2051688131">
    <w:abstractNumId w:val="34"/>
  </w:num>
  <w:num w:numId="34" w16cid:durableId="403648489">
    <w:abstractNumId w:val="18"/>
  </w:num>
  <w:num w:numId="35" w16cid:durableId="456072830">
    <w:abstractNumId w:val="1"/>
  </w:num>
  <w:num w:numId="36" w16cid:durableId="1831021356">
    <w:abstractNumId w:val="30"/>
  </w:num>
  <w:num w:numId="37" w16cid:durableId="388576568">
    <w:abstractNumId w:val="29"/>
  </w:num>
  <w:num w:numId="38" w16cid:durableId="199243342">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drawingGridHorizontalSpacing w:val="11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ulTrailSpace/>
    <w:shapeLayoutLikeWW8/>
    <w:compatSetting w:name="compatibilityMode" w:uri="http://schemas.microsoft.com/office/word" w:val="12"/>
    <w:compatSetting w:name="useWord2013TrackBottomHyphenation" w:uri="http://schemas.microsoft.com/office/word" w:val="1"/>
  </w:compat>
  <w:rsids>
    <w:rsidRoot w:val="00033FD4"/>
    <w:rsid w:val="00005787"/>
    <w:rsid w:val="00007071"/>
    <w:rsid w:val="00013CEF"/>
    <w:rsid w:val="00016BD3"/>
    <w:rsid w:val="00017868"/>
    <w:rsid w:val="00017A52"/>
    <w:rsid w:val="00020B19"/>
    <w:rsid w:val="0002126E"/>
    <w:rsid w:val="00026A2B"/>
    <w:rsid w:val="00030DB5"/>
    <w:rsid w:val="00032A39"/>
    <w:rsid w:val="00033FD4"/>
    <w:rsid w:val="00035299"/>
    <w:rsid w:val="00036E6B"/>
    <w:rsid w:val="00040798"/>
    <w:rsid w:val="00040C4E"/>
    <w:rsid w:val="00041526"/>
    <w:rsid w:val="000446AD"/>
    <w:rsid w:val="000452F7"/>
    <w:rsid w:val="00046832"/>
    <w:rsid w:val="00050390"/>
    <w:rsid w:val="000561B9"/>
    <w:rsid w:val="00064001"/>
    <w:rsid w:val="000666BB"/>
    <w:rsid w:val="000719F5"/>
    <w:rsid w:val="000734FE"/>
    <w:rsid w:val="000754B7"/>
    <w:rsid w:val="000774AC"/>
    <w:rsid w:val="00077DD1"/>
    <w:rsid w:val="00084565"/>
    <w:rsid w:val="00084C5C"/>
    <w:rsid w:val="00084D40"/>
    <w:rsid w:val="00085F86"/>
    <w:rsid w:val="000876CE"/>
    <w:rsid w:val="0009442F"/>
    <w:rsid w:val="00095F16"/>
    <w:rsid w:val="00096812"/>
    <w:rsid w:val="000A12E5"/>
    <w:rsid w:val="000A3662"/>
    <w:rsid w:val="000A5511"/>
    <w:rsid w:val="000A5619"/>
    <w:rsid w:val="000A71F3"/>
    <w:rsid w:val="000B19BD"/>
    <w:rsid w:val="000B234F"/>
    <w:rsid w:val="000B2C02"/>
    <w:rsid w:val="000B5081"/>
    <w:rsid w:val="000B5E01"/>
    <w:rsid w:val="000B6BEE"/>
    <w:rsid w:val="000C6592"/>
    <w:rsid w:val="000C769D"/>
    <w:rsid w:val="000C7C83"/>
    <w:rsid w:val="000D18BA"/>
    <w:rsid w:val="000D29AF"/>
    <w:rsid w:val="000D4804"/>
    <w:rsid w:val="000D4B49"/>
    <w:rsid w:val="000D6319"/>
    <w:rsid w:val="000E1145"/>
    <w:rsid w:val="000E3A1C"/>
    <w:rsid w:val="000E45C7"/>
    <w:rsid w:val="000F1098"/>
    <w:rsid w:val="000F1572"/>
    <w:rsid w:val="000F20A7"/>
    <w:rsid w:val="000F64F9"/>
    <w:rsid w:val="00100569"/>
    <w:rsid w:val="00100753"/>
    <w:rsid w:val="00104ED0"/>
    <w:rsid w:val="00104FA3"/>
    <w:rsid w:val="00105959"/>
    <w:rsid w:val="00105B27"/>
    <w:rsid w:val="0011177A"/>
    <w:rsid w:val="00116920"/>
    <w:rsid w:val="00116EA1"/>
    <w:rsid w:val="001171C2"/>
    <w:rsid w:val="00117B9C"/>
    <w:rsid w:val="00124756"/>
    <w:rsid w:val="00126C0F"/>
    <w:rsid w:val="001274EC"/>
    <w:rsid w:val="00132DF3"/>
    <w:rsid w:val="0013584C"/>
    <w:rsid w:val="00141053"/>
    <w:rsid w:val="001414DD"/>
    <w:rsid w:val="00142E05"/>
    <w:rsid w:val="00143462"/>
    <w:rsid w:val="00144729"/>
    <w:rsid w:val="00144954"/>
    <w:rsid w:val="00144B6A"/>
    <w:rsid w:val="00146AB4"/>
    <w:rsid w:val="00146BCE"/>
    <w:rsid w:val="00147F24"/>
    <w:rsid w:val="0015696C"/>
    <w:rsid w:val="00161130"/>
    <w:rsid w:val="00162B94"/>
    <w:rsid w:val="001647AB"/>
    <w:rsid w:val="00164B87"/>
    <w:rsid w:val="001650DD"/>
    <w:rsid w:val="00166EF9"/>
    <w:rsid w:val="00166F9B"/>
    <w:rsid w:val="00172AD1"/>
    <w:rsid w:val="00173C55"/>
    <w:rsid w:val="00175BB4"/>
    <w:rsid w:val="00177329"/>
    <w:rsid w:val="001804F6"/>
    <w:rsid w:val="0018106F"/>
    <w:rsid w:val="00181567"/>
    <w:rsid w:val="00182441"/>
    <w:rsid w:val="00183EAB"/>
    <w:rsid w:val="00186A5E"/>
    <w:rsid w:val="001871DF"/>
    <w:rsid w:val="001906F2"/>
    <w:rsid w:val="00193F38"/>
    <w:rsid w:val="0019573C"/>
    <w:rsid w:val="001957BC"/>
    <w:rsid w:val="001973C2"/>
    <w:rsid w:val="001A0D4C"/>
    <w:rsid w:val="001A2B89"/>
    <w:rsid w:val="001A4112"/>
    <w:rsid w:val="001A46C8"/>
    <w:rsid w:val="001A47CC"/>
    <w:rsid w:val="001A4869"/>
    <w:rsid w:val="001A6A40"/>
    <w:rsid w:val="001B0144"/>
    <w:rsid w:val="001B0B05"/>
    <w:rsid w:val="001B0EF6"/>
    <w:rsid w:val="001B1556"/>
    <w:rsid w:val="001B1C46"/>
    <w:rsid w:val="001B3F3D"/>
    <w:rsid w:val="001B569E"/>
    <w:rsid w:val="001B601D"/>
    <w:rsid w:val="001C2D02"/>
    <w:rsid w:val="001C560A"/>
    <w:rsid w:val="001C6BEB"/>
    <w:rsid w:val="001D34D2"/>
    <w:rsid w:val="001D6B1D"/>
    <w:rsid w:val="001E310B"/>
    <w:rsid w:val="001E3380"/>
    <w:rsid w:val="001E3796"/>
    <w:rsid w:val="001E675E"/>
    <w:rsid w:val="001F1402"/>
    <w:rsid w:val="001F219D"/>
    <w:rsid w:val="001F2532"/>
    <w:rsid w:val="001F2D32"/>
    <w:rsid w:val="001F48C0"/>
    <w:rsid w:val="001F5610"/>
    <w:rsid w:val="001F75DA"/>
    <w:rsid w:val="0020382B"/>
    <w:rsid w:val="00204DC7"/>
    <w:rsid w:val="00210CB5"/>
    <w:rsid w:val="0021397B"/>
    <w:rsid w:val="0021447C"/>
    <w:rsid w:val="00214ECA"/>
    <w:rsid w:val="00216A55"/>
    <w:rsid w:val="00222C57"/>
    <w:rsid w:val="00223909"/>
    <w:rsid w:val="002264A2"/>
    <w:rsid w:val="00230C24"/>
    <w:rsid w:val="00231ED2"/>
    <w:rsid w:val="00232058"/>
    <w:rsid w:val="002346DB"/>
    <w:rsid w:val="00234E6D"/>
    <w:rsid w:val="00235F98"/>
    <w:rsid w:val="00236E3F"/>
    <w:rsid w:val="002371A3"/>
    <w:rsid w:val="0024125D"/>
    <w:rsid w:val="00246738"/>
    <w:rsid w:val="002512D4"/>
    <w:rsid w:val="00251FA0"/>
    <w:rsid w:val="0025376A"/>
    <w:rsid w:val="00255800"/>
    <w:rsid w:val="002560C7"/>
    <w:rsid w:val="002567ED"/>
    <w:rsid w:val="00264227"/>
    <w:rsid w:val="002642B3"/>
    <w:rsid w:val="0026431C"/>
    <w:rsid w:val="00265536"/>
    <w:rsid w:val="0026688B"/>
    <w:rsid w:val="00266934"/>
    <w:rsid w:val="0027284B"/>
    <w:rsid w:val="002763FD"/>
    <w:rsid w:val="00276755"/>
    <w:rsid w:val="00282C95"/>
    <w:rsid w:val="00283579"/>
    <w:rsid w:val="00283DA3"/>
    <w:rsid w:val="002841B1"/>
    <w:rsid w:val="00285B39"/>
    <w:rsid w:val="0028640E"/>
    <w:rsid w:val="002908C2"/>
    <w:rsid w:val="002932AC"/>
    <w:rsid w:val="00297D04"/>
    <w:rsid w:val="002A0E8F"/>
    <w:rsid w:val="002A30D1"/>
    <w:rsid w:val="002A3768"/>
    <w:rsid w:val="002A4EC1"/>
    <w:rsid w:val="002A618E"/>
    <w:rsid w:val="002B14E5"/>
    <w:rsid w:val="002B157E"/>
    <w:rsid w:val="002B1FAA"/>
    <w:rsid w:val="002B293A"/>
    <w:rsid w:val="002B429A"/>
    <w:rsid w:val="002B57E6"/>
    <w:rsid w:val="002C16F3"/>
    <w:rsid w:val="002C2748"/>
    <w:rsid w:val="002C39E0"/>
    <w:rsid w:val="002C3D79"/>
    <w:rsid w:val="002C7D45"/>
    <w:rsid w:val="002D0C57"/>
    <w:rsid w:val="002D1545"/>
    <w:rsid w:val="002D15F4"/>
    <w:rsid w:val="002D2B19"/>
    <w:rsid w:val="002D2D53"/>
    <w:rsid w:val="002D74A1"/>
    <w:rsid w:val="002E1442"/>
    <w:rsid w:val="002E1A25"/>
    <w:rsid w:val="002E3E50"/>
    <w:rsid w:val="002E6634"/>
    <w:rsid w:val="002E73CF"/>
    <w:rsid w:val="002E7FFA"/>
    <w:rsid w:val="002F1468"/>
    <w:rsid w:val="002F620D"/>
    <w:rsid w:val="002F6F67"/>
    <w:rsid w:val="0030203D"/>
    <w:rsid w:val="00302CEF"/>
    <w:rsid w:val="0030390E"/>
    <w:rsid w:val="003043C7"/>
    <w:rsid w:val="00305F3F"/>
    <w:rsid w:val="00310665"/>
    <w:rsid w:val="003131D2"/>
    <w:rsid w:val="00313EBD"/>
    <w:rsid w:val="0031459A"/>
    <w:rsid w:val="00315D0A"/>
    <w:rsid w:val="003222EA"/>
    <w:rsid w:val="00323ADC"/>
    <w:rsid w:val="00325E7A"/>
    <w:rsid w:val="003266FB"/>
    <w:rsid w:val="003268A9"/>
    <w:rsid w:val="003278A8"/>
    <w:rsid w:val="00330EEA"/>
    <w:rsid w:val="00332E70"/>
    <w:rsid w:val="0033456E"/>
    <w:rsid w:val="003350D2"/>
    <w:rsid w:val="003362D7"/>
    <w:rsid w:val="0033796A"/>
    <w:rsid w:val="003379AC"/>
    <w:rsid w:val="0034410B"/>
    <w:rsid w:val="0034515E"/>
    <w:rsid w:val="00345732"/>
    <w:rsid w:val="0034658D"/>
    <w:rsid w:val="00346F6D"/>
    <w:rsid w:val="00347AB4"/>
    <w:rsid w:val="00351231"/>
    <w:rsid w:val="003517DC"/>
    <w:rsid w:val="003523BC"/>
    <w:rsid w:val="00352DAB"/>
    <w:rsid w:val="003530A8"/>
    <w:rsid w:val="00354F94"/>
    <w:rsid w:val="003558C8"/>
    <w:rsid w:val="0035628B"/>
    <w:rsid w:val="00356290"/>
    <w:rsid w:val="00356E9A"/>
    <w:rsid w:val="003601B9"/>
    <w:rsid w:val="00360FF2"/>
    <w:rsid w:val="0036127B"/>
    <w:rsid w:val="003614AA"/>
    <w:rsid w:val="003615A8"/>
    <w:rsid w:val="00361ECB"/>
    <w:rsid w:val="00363195"/>
    <w:rsid w:val="003639D1"/>
    <w:rsid w:val="00365C9E"/>
    <w:rsid w:val="00366C71"/>
    <w:rsid w:val="00370837"/>
    <w:rsid w:val="00372041"/>
    <w:rsid w:val="00373561"/>
    <w:rsid w:val="00376E6E"/>
    <w:rsid w:val="00380EE0"/>
    <w:rsid w:val="003823EE"/>
    <w:rsid w:val="00383879"/>
    <w:rsid w:val="003843F0"/>
    <w:rsid w:val="00384668"/>
    <w:rsid w:val="00386B4D"/>
    <w:rsid w:val="003872F3"/>
    <w:rsid w:val="00391EC8"/>
    <w:rsid w:val="003930AD"/>
    <w:rsid w:val="003936E7"/>
    <w:rsid w:val="003939CF"/>
    <w:rsid w:val="00393B17"/>
    <w:rsid w:val="00396190"/>
    <w:rsid w:val="0039787D"/>
    <w:rsid w:val="003A448F"/>
    <w:rsid w:val="003A4933"/>
    <w:rsid w:val="003A51DE"/>
    <w:rsid w:val="003A752F"/>
    <w:rsid w:val="003B0D60"/>
    <w:rsid w:val="003B35A4"/>
    <w:rsid w:val="003B579F"/>
    <w:rsid w:val="003B5870"/>
    <w:rsid w:val="003B5925"/>
    <w:rsid w:val="003B7C41"/>
    <w:rsid w:val="003B7CE3"/>
    <w:rsid w:val="003C2A6C"/>
    <w:rsid w:val="003C3B01"/>
    <w:rsid w:val="003C5200"/>
    <w:rsid w:val="003C5374"/>
    <w:rsid w:val="003C5A84"/>
    <w:rsid w:val="003C7CAA"/>
    <w:rsid w:val="003D1B28"/>
    <w:rsid w:val="003D6BB4"/>
    <w:rsid w:val="003D7D0A"/>
    <w:rsid w:val="003E0609"/>
    <w:rsid w:val="003E0AD2"/>
    <w:rsid w:val="003E40DA"/>
    <w:rsid w:val="003E46BC"/>
    <w:rsid w:val="003E5BE6"/>
    <w:rsid w:val="003E6A38"/>
    <w:rsid w:val="003F1443"/>
    <w:rsid w:val="003F1EFE"/>
    <w:rsid w:val="003F2D8C"/>
    <w:rsid w:val="003F444F"/>
    <w:rsid w:val="003F626C"/>
    <w:rsid w:val="003F692B"/>
    <w:rsid w:val="0040042F"/>
    <w:rsid w:val="004007EF"/>
    <w:rsid w:val="004017FB"/>
    <w:rsid w:val="00404488"/>
    <w:rsid w:val="0040526A"/>
    <w:rsid w:val="0041374D"/>
    <w:rsid w:val="00416FB2"/>
    <w:rsid w:val="00420A54"/>
    <w:rsid w:val="004252D7"/>
    <w:rsid w:val="004253F7"/>
    <w:rsid w:val="00427A1A"/>
    <w:rsid w:val="00427DB4"/>
    <w:rsid w:val="00430D3A"/>
    <w:rsid w:val="00431D17"/>
    <w:rsid w:val="00432BCA"/>
    <w:rsid w:val="00433C5D"/>
    <w:rsid w:val="00434D34"/>
    <w:rsid w:val="00442BBC"/>
    <w:rsid w:val="00445BAE"/>
    <w:rsid w:val="00446D6B"/>
    <w:rsid w:val="00450BB7"/>
    <w:rsid w:val="004539D2"/>
    <w:rsid w:val="00454E8D"/>
    <w:rsid w:val="00461B4E"/>
    <w:rsid w:val="0046516B"/>
    <w:rsid w:val="00465E25"/>
    <w:rsid w:val="0048166A"/>
    <w:rsid w:val="00483470"/>
    <w:rsid w:val="00483D83"/>
    <w:rsid w:val="004859AC"/>
    <w:rsid w:val="00485A70"/>
    <w:rsid w:val="00487CA3"/>
    <w:rsid w:val="004905B0"/>
    <w:rsid w:val="0049186D"/>
    <w:rsid w:val="004921F4"/>
    <w:rsid w:val="00492230"/>
    <w:rsid w:val="00496A8B"/>
    <w:rsid w:val="00496FEC"/>
    <w:rsid w:val="00497684"/>
    <w:rsid w:val="004A056A"/>
    <w:rsid w:val="004A0A4C"/>
    <w:rsid w:val="004A23A0"/>
    <w:rsid w:val="004A2D77"/>
    <w:rsid w:val="004A3E8E"/>
    <w:rsid w:val="004A40A6"/>
    <w:rsid w:val="004A6F10"/>
    <w:rsid w:val="004A789F"/>
    <w:rsid w:val="004B16E3"/>
    <w:rsid w:val="004B2194"/>
    <w:rsid w:val="004B3236"/>
    <w:rsid w:val="004B3FA6"/>
    <w:rsid w:val="004B66AC"/>
    <w:rsid w:val="004B79BC"/>
    <w:rsid w:val="004C2008"/>
    <w:rsid w:val="004C372F"/>
    <w:rsid w:val="004C44D8"/>
    <w:rsid w:val="004C4572"/>
    <w:rsid w:val="004C4987"/>
    <w:rsid w:val="004C6474"/>
    <w:rsid w:val="004D475D"/>
    <w:rsid w:val="004E0B01"/>
    <w:rsid w:val="004E39EC"/>
    <w:rsid w:val="004E59A8"/>
    <w:rsid w:val="004E6AB6"/>
    <w:rsid w:val="004F2F8A"/>
    <w:rsid w:val="004F4031"/>
    <w:rsid w:val="004F431E"/>
    <w:rsid w:val="004F68C0"/>
    <w:rsid w:val="00501F84"/>
    <w:rsid w:val="00503223"/>
    <w:rsid w:val="0050393E"/>
    <w:rsid w:val="00510354"/>
    <w:rsid w:val="00510F3B"/>
    <w:rsid w:val="005118F6"/>
    <w:rsid w:val="005122AC"/>
    <w:rsid w:val="00512770"/>
    <w:rsid w:val="00514FCF"/>
    <w:rsid w:val="005157BA"/>
    <w:rsid w:val="00526D29"/>
    <w:rsid w:val="00527ACC"/>
    <w:rsid w:val="005310AB"/>
    <w:rsid w:val="00532C19"/>
    <w:rsid w:val="00532CB7"/>
    <w:rsid w:val="00537E59"/>
    <w:rsid w:val="0054098D"/>
    <w:rsid w:val="00541E40"/>
    <w:rsid w:val="00547679"/>
    <w:rsid w:val="00547DDF"/>
    <w:rsid w:val="0055058C"/>
    <w:rsid w:val="00555138"/>
    <w:rsid w:val="00555201"/>
    <w:rsid w:val="0056190E"/>
    <w:rsid w:val="00562E5D"/>
    <w:rsid w:val="00563203"/>
    <w:rsid w:val="00563438"/>
    <w:rsid w:val="005642F5"/>
    <w:rsid w:val="005649F1"/>
    <w:rsid w:val="00566736"/>
    <w:rsid w:val="005677C1"/>
    <w:rsid w:val="005713FD"/>
    <w:rsid w:val="0057353E"/>
    <w:rsid w:val="0057646C"/>
    <w:rsid w:val="005778C0"/>
    <w:rsid w:val="0058256E"/>
    <w:rsid w:val="00584DE2"/>
    <w:rsid w:val="00585BDC"/>
    <w:rsid w:val="00591DC2"/>
    <w:rsid w:val="00592518"/>
    <w:rsid w:val="0059367B"/>
    <w:rsid w:val="005951E3"/>
    <w:rsid w:val="00597AA9"/>
    <w:rsid w:val="005A1C02"/>
    <w:rsid w:val="005A29F9"/>
    <w:rsid w:val="005A3592"/>
    <w:rsid w:val="005B4562"/>
    <w:rsid w:val="005B5078"/>
    <w:rsid w:val="005B637D"/>
    <w:rsid w:val="005B6C66"/>
    <w:rsid w:val="005B7D84"/>
    <w:rsid w:val="005C1A8D"/>
    <w:rsid w:val="005C3730"/>
    <w:rsid w:val="005C3BA4"/>
    <w:rsid w:val="005C4273"/>
    <w:rsid w:val="005C69D7"/>
    <w:rsid w:val="005D25E0"/>
    <w:rsid w:val="005D53C9"/>
    <w:rsid w:val="005D5658"/>
    <w:rsid w:val="005D709C"/>
    <w:rsid w:val="005D751E"/>
    <w:rsid w:val="005E0C9F"/>
    <w:rsid w:val="005E13D4"/>
    <w:rsid w:val="005E2064"/>
    <w:rsid w:val="005E4F14"/>
    <w:rsid w:val="005E7E6A"/>
    <w:rsid w:val="005F27A7"/>
    <w:rsid w:val="005F783B"/>
    <w:rsid w:val="00603246"/>
    <w:rsid w:val="00603E33"/>
    <w:rsid w:val="0060497F"/>
    <w:rsid w:val="00604E8F"/>
    <w:rsid w:val="00605B91"/>
    <w:rsid w:val="006071FC"/>
    <w:rsid w:val="00607293"/>
    <w:rsid w:val="0061193E"/>
    <w:rsid w:val="0061413B"/>
    <w:rsid w:val="0061486F"/>
    <w:rsid w:val="00615942"/>
    <w:rsid w:val="00615AA1"/>
    <w:rsid w:val="00615F7D"/>
    <w:rsid w:val="0061620E"/>
    <w:rsid w:val="00620E26"/>
    <w:rsid w:val="006217AF"/>
    <w:rsid w:val="00622C9B"/>
    <w:rsid w:val="00622EAF"/>
    <w:rsid w:val="00623B3C"/>
    <w:rsid w:val="0062424A"/>
    <w:rsid w:val="00624DE9"/>
    <w:rsid w:val="006256B0"/>
    <w:rsid w:val="00625EB3"/>
    <w:rsid w:val="006314F3"/>
    <w:rsid w:val="00632B75"/>
    <w:rsid w:val="00632BC0"/>
    <w:rsid w:val="00633FB3"/>
    <w:rsid w:val="00635B9A"/>
    <w:rsid w:val="00637DA2"/>
    <w:rsid w:val="006401E4"/>
    <w:rsid w:val="006408BE"/>
    <w:rsid w:val="00643BFE"/>
    <w:rsid w:val="00645176"/>
    <w:rsid w:val="0064738F"/>
    <w:rsid w:val="006543DA"/>
    <w:rsid w:val="00654C58"/>
    <w:rsid w:val="00655812"/>
    <w:rsid w:val="00655D99"/>
    <w:rsid w:val="00656500"/>
    <w:rsid w:val="0066029D"/>
    <w:rsid w:val="00661261"/>
    <w:rsid w:val="00662124"/>
    <w:rsid w:val="00662B68"/>
    <w:rsid w:val="00663297"/>
    <w:rsid w:val="006635EC"/>
    <w:rsid w:val="006636DA"/>
    <w:rsid w:val="006638E1"/>
    <w:rsid w:val="00663A72"/>
    <w:rsid w:val="00664507"/>
    <w:rsid w:val="006655EA"/>
    <w:rsid w:val="00667D72"/>
    <w:rsid w:val="00670167"/>
    <w:rsid w:val="00671D0D"/>
    <w:rsid w:val="0067241E"/>
    <w:rsid w:val="00675158"/>
    <w:rsid w:val="006805F2"/>
    <w:rsid w:val="00680DDF"/>
    <w:rsid w:val="0068231D"/>
    <w:rsid w:val="00682AD3"/>
    <w:rsid w:val="00692418"/>
    <w:rsid w:val="00692B8E"/>
    <w:rsid w:val="00693405"/>
    <w:rsid w:val="00695241"/>
    <w:rsid w:val="006957B4"/>
    <w:rsid w:val="00696B75"/>
    <w:rsid w:val="006975EF"/>
    <w:rsid w:val="00697A83"/>
    <w:rsid w:val="006A1E42"/>
    <w:rsid w:val="006A24A8"/>
    <w:rsid w:val="006A3CAA"/>
    <w:rsid w:val="006A4DF9"/>
    <w:rsid w:val="006A688B"/>
    <w:rsid w:val="006A7793"/>
    <w:rsid w:val="006B1DA9"/>
    <w:rsid w:val="006B371F"/>
    <w:rsid w:val="006C1D3C"/>
    <w:rsid w:val="006C31CC"/>
    <w:rsid w:val="006C775B"/>
    <w:rsid w:val="006D03C5"/>
    <w:rsid w:val="006D0F03"/>
    <w:rsid w:val="006D25FB"/>
    <w:rsid w:val="006D3683"/>
    <w:rsid w:val="006D56BF"/>
    <w:rsid w:val="006D698F"/>
    <w:rsid w:val="006D6EC7"/>
    <w:rsid w:val="006D71A7"/>
    <w:rsid w:val="006D73BB"/>
    <w:rsid w:val="006E0E5A"/>
    <w:rsid w:val="006E2AFD"/>
    <w:rsid w:val="006E43DE"/>
    <w:rsid w:val="006E461A"/>
    <w:rsid w:val="006E7F18"/>
    <w:rsid w:val="006F0352"/>
    <w:rsid w:val="006F106E"/>
    <w:rsid w:val="006F1834"/>
    <w:rsid w:val="006F2EE0"/>
    <w:rsid w:val="006F4044"/>
    <w:rsid w:val="006F73B1"/>
    <w:rsid w:val="007001E7"/>
    <w:rsid w:val="00702282"/>
    <w:rsid w:val="00703355"/>
    <w:rsid w:val="007041D8"/>
    <w:rsid w:val="007070FD"/>
    <w:rsid w:val="00707125"/>
    <w:rsid w:val="007079D4"/>
    <w:rsid w:val="00711DC4"/>
    <w:rsid w:val="007135AE"/>
    <w:rsid w:val="00713EDB"/>
    <w:rsid w:val="007143A4"/>
    <w:rsid w:val="00714F90"/>
    <w:rsid w:val="00716D29"/>
    <w:rsid w:val="00716E24"/>
    <w:rsid w:val="007176A3"/>
    <w:rsid w:val="007177C6"/>
    <w:rsid w:val="00717FF0"/>
    <w:rsid w:val="0072297C"/>
    <w:rsid w:val="00722B56"/>
    <w:rsid w:val="00723037"/>
    <w:rsid w:val="00723DE7"/>
    <w:rsid w:val="007255D2"/>
    <w:rsid w:val="00725D15"/>
    <w:rsid w:val="00726ED7"/>
    <w:rsid w:val="00727444"/>
    <w:rsid w:val="00730121"/>
    <w:rsid w:val="007310F2"/>
    <w:rsid w:val="00733ACB"/>
    <w:rsid w:val="00733BFD"/>
    <w:rsid w:val="0073538F"/>
    <w:rsid w:val="00736418"/>
    <w:rsid w:val="00741BFA"/>
    <w:rsid w:val="00741FCC"/>
    <w:rsid w:val="00741FEE"/>
    <w:rsid w:val="00743536"/>
    <w:rsid w:val="007440CC"/>
    <w:rsid w:val="007541B2"/>
    <w:rsid w:val="00754456"/>
    <w:rsid w:val="00754A29"/>
    <w:rsid w:val="00755310"/>
    <w:rsid w:val="0075629D"/>
    <w:rsid w:val="007608CF"/>
    <w:rsid w:val="00762BEE"/>
    <w:rsid w:val="007645A5"/>
    <w:rsid w:val="00764DF6"/>
    <w:rsid w:val="007704B4"/>
    <w:rsid w:val="00773587"/>
    <w:rsid w:val="00775437"/>
    <w:rsid w:val="00781865"/>
    <w:rsid w:val="007826AF"/>
    <w:rsid w:val="0078337A"/>
    <w:rsid w:val="00785899"/>
    <w:rsid w:val="00794AD1"/>
    <w:rsid w:val="00795205"/>
    <w:rsid w:val="007A1894"/>
    <w:rsid w:val="007A2ABE"/>
    <w:rsid w:val="007A2FCD"/>
    <w:rsid w:val="007A3B01"/>
    <w:rsid w:val="007A5F49"/>
    <w:rsid w:val="007A6637"/>
    <w:rsid w:val="007B1852"/>
    <w:rsid w:val="007B1A16"/>
    <w:rsid w:val="007B62F0"/>
    <w:rsid w:val="007B67BC"/>
    <w:rsid w:val="007B6C3D"/>
    <w:rsid w:val="007C3F73"/>
    <w:rsid w:val="007C40E9"/>
    <w:rsid w:val="007C54C7"/>
    <w:rsid w:val="007C5D06"/>
    <w:rsid w:val="007C61C2"/>
    <w:rsid w:val="007C6C56"/>
    <w:rsid w:val="007D007C"/>
    <w:rsid w:val="007D4DB7"/>
    <w:rsid w:val="007D5C25"/>
    <w:rsid w:val="007D64F9"/>
    <w:rsid w:val="007D7B81"/>
    <w:rsid w:val="007E09AF"/>
    <w:rsid w:val="007E0C9A"/>
    <w:rsid w:val="007E1D56"/>
    <w:rsid w:val="007E20B9"/>
    <w:rsid w:val="007E24BE"/>
    <w:rsid w:val="007F361A"/>
    <w:rsid w:val="007F49C7"/>
    <w:rsid w:val="007F55E1"/>
    <w:rsid w:val="007F5847"/>
    <w:rsid w:val="007F641A"/>
    <w:rsid w:val="007F66FB"/>
    <w:rsid w:val="00801534"/>
    <w:rsid w:val="00801CF5"/>
    <w:rsid w:val="008058B7"/>
    <w:rsid w:val="0081046D"/>
    <w:rsid w:val="00810714"/>
    <w:rsid w:val="00811330"/>
    <w:rsid w:val="0081193B"/>
    <w:rsid w:val="00815E90"/>
    <w:rsid w:val="00815EF4"/>
    <w:rsid w:val="00817A9F"/>
    <w:rsid w:val="0082083D"/>
    <w:rsid w:val="00823B14"/>
    <w:rsid w:val="0082447D"/>
    <w:rsid w:val="00825BBB"/>
    <w:rsid w:val="00831538"/>
    <w:rsid w:val="00831D35"/>
    <w:rsid w:val="00834E7C"/>
    <w:rsid w:val="00836247"/>
    <w:rsid w:val="0084189B"/>
    <w:rsid w:val="00841E74"/>
    <w:rsid w:val="00844125"/>
    <w:rsid w:val="0084645B"/>
    <w:rsid w:val="00846507"/>
    <w:rsid w:val="0085134D"/>
    <w:rsid w:val="008553EF"/>
    <w:rsid w:val="00856506"/>
    <w:rsid w:val="008569B1"/>
    <w:rsid w:val="00856CB5"/>
    <w:rsid w:val="00856D6F"/>
    <w:rsid w:val="0085762B"/>
    <w:rsid w:val="0086215E"/>
    <w:rsid w:val="00863C58"/>
    <w:rsid w:val="00865A5B"/>
    <w:rsid w:val="008668A6"/>
    <w:rsid w:val="008705DA"/>
    <w:rsid w:val="00870A28"/>
    <w:rsid w:val="00871DDF"/>
    <w:rsid w:val="008724C9"/>
    <w:rsid w:val="008725FB"/>
    <w:rsid w:val="00872D88"/>
    <w:rsid w:val="0087301B"/>
    <w:rsid w:val="00875B84"/>
    <w:rsid w:val="0088029B"/>
    <w:rsid w:val="00880E84"/>
    <w:rsid w:val="008816DD"/>
    <w:rsid w:val="00881BD8"/>
    <w:rsid w:val="00885E79"/>
    <w:rsid w:val="008867FC"/>
    <w:rsid w:val="00886F89"/>
    <w:rsid w:val="00890781"/>
    <w:rsid w:val="00892C94"/>
    <w:rsid w:val="00893260"/>
    <w:rsid w:val="00893A04"/>
    <w:rsid w:val="00893A74"/>
    <w:rsid w:val="008A1834"/>
    <w:rsid w:val="008A2C2E"/>
    <w:rsid w:val="008A7699"/>
    <w:rsid w:val="008B0B0A"/>
    <w:rsid w:val="008B1196"/>
    <w:rsid w:val="008B2B79"/>
    <w:rsid w:val="008B50AD"/>
    <w:rsid w:val="008B56B0"/>
    <w:rsid w:val="008B6304"/>
    <w:rsid w:val="008B6590"/>
    <w:rsid w:val="008B7199"/>
    <w:rsid w:val="008C3019"/>
    <w:rsid w:val="008C5160"/>
    <w:rsid w:val="008C558D"/>
    <w:rsid w:val="008C65B9"/>
    <w:rsid w:val="008C7C28"/>
    <w:rsid w:val="008D0F81"/>
    <w:rsid w:val="008D247B"/>
    <w:rsid w:val="008D359E"/>
    <w:rsid w:val="008D3E3C"/>
    <w:rsid w:val="008D60BB"/>
    <w:rsid w:val="008D7706"/>
    <w:rsid w:val="008D7C54"/>
    <w:rsid w:val="008E01A6"/>
    <w:rsid w:val="008E16C2"/>
    <w:rsid w:val="008F0366"/>
    <w:rsid w:val="008F1149"/>
    <w:rsid w:val="008F38EC"/>
    <w:rsid w:val="008F6696"/>
    <w:rsid w:val="008F7241"/>
    <w:rsid w:val="00902E36"/>
    <w:rsid w:val="00905897"/>
    <w:rsid w:val="00907437"/>
    <w:rsid w:val="009101C5"/>
    <w:rsid w:val="00913195"/>
    <w:rsid w:val="00916DB2"/>
    <w:rsid w:val="0092225D"/>
    <w:rsid w:val="00924D5A"/>
    <w:rsid w:val="00926152"/>
    <w:rsid w:val="00927151"/>
    <w:rsid w:val="00931767"/>
    <w:rsid w:val="00933098"/>
    <w:rsid w:val="0093341A"/>
    <w:rsid w:val="009340FC"/>
    <w:rsid w:val="00935E49"/>
    <w:rsid w:val="009401B9"/>
    <w:rsid w:val="0094372E"/>
    <w:rsid w:val="00947FE9"/>
    <w:rsid w:val="00950C69"/>
    <w:rsid w:val="00952446"/>
    <w:rsid w:val="00952CD8"/>
    <w:rsid w:val="009578FD"/>
    <w:rsid w:val="00960D16"/>
    <w:rsid w:val="00964560"/>
    <w:rsid w:val="0096477A"/>
    <w:rsid w:val="00964EA3"/>
    <w:rsid w:val="00964F9C"/>
    <w:rsid w:val="00970FBA"/>
    <w:rsid w:val="00971085"/>
    <w:rsid w:val="00971CAE"/>
    <w:rsid w:val="0097321A"/>
    <w:rsid w:val="009752F4"/>
    <w:rsid w:val="009756B7"/>
    <w:rsid w:val="009761C8"/>
    <w:rsid w:val="00977B74"/>
    <w:rsid w:val="00977EDE"/>
    <w:rsid w:val="009817FB"/>
    <w:rsid w:val="00985ECD"/>
    <w:rsid w:val="00986187"/>
    <w:rsid w:val="009869B8"/>
    <w:rsid w:val="00987B86"/>
    <w:rsid w:val="00991BA2"/>
    <w:rsid w:val="00992253"/>
    <w:rsid w:val="00993FE3"/>
    <w:rsid w:val="00996FAC"/>
    <w:rsid w:val="009A0974"/>
    <w:rsid w:val="009A26B9"/>
    <w:rsid w:val="009A3A92"/>
    <w:rsid w:val="009B1B59"/>
    <w:rsid w:val="009B25A1"/>
    <w:rsid w:val="009B4465"/>
    <w:rsid w:val="009B45B9"/>
    <w:rsid w:val="009B472C"/>
    <w:rsid w:val="009B4A25"/>
    <w:rsid w:val="009B50E2"/>
    <w:rsid w:val="009B7589"/>
    <w:rsid w:val="009C11D7"/>
    <w:rsid w:val="009C42D3"/>
    <w:rsid w:val="009C4AA7"/>
    <w:rsid w:val="009C54E4"/>
    <w:rsid w:val="009C57DD"/>
    <w:rsid w:val="009D06EC"/>
    <w:rsid w:val="009D22E8"/>
    <w:rsid w:val="009D283B"/>
    <w:rsid w:val="009D554F"/>
    <w:rsid w:val="009E1605"/>
    <w:rsid w:val="009E316E"/>
    <w:rsid w:val="009E39A1"/>
    <w:rsid w:val="009E7287"/>
    <w:rsid w:val="009E7513"/>
    <w:rsid w:val="009F14F0"/>
    <w:rsid w:val="009F16A5"/>
    <w:rsid w:val="009F1BB1"/>
    <w:rsid w:val="009F22ED"/>
    <w:rsid w:val="009F2E5C"/>
    <w:rsid w:val="009F3DB3"/>
    <w:rsid w:val="009F50D3"/>
    <w:rsid w:val="009F5A71"/>
    <w:rsid w:val="009F7BFD"/>
    <w:rsid w:val="00A034C4"/>
    <w:rsid w:val="00A03D34"/>
    <w:rsid w:val="00A051F4"/>
    <w:rsid w:val="00A066BB"/>
    <w:rsid w:val="00A073DE"/>
    <w:rsid w:val="00A11BC6"/>
    <w:rsid w:val="00A16703"/>
    <w:rsid w:val="00A16874"/>
    <w:rsid w:val="00A16A90"/>
    <w:rsid w:val="00A1760C"/>
    <w:rsid w:val="00A17B17"/>
    <w:rsid w:val="00A2640B"/>
    <w:rsid w:val="00A26D5C"/>
    <w:rsid w:val="00A30B7C"/>
    <w:rsid w:val="00A316B0"/>
    <w:rsid w:val="00A32FB1"/>
    <w:rsid w:val="00A359E2"/>
    <w:rsid w:val="00A36989"/>
    <w:rsid w:val="00A42F9D"/>
    <w:rsid w:val="00A43927"/>
    <w:rsid w:val="00A44D94"/>
    <w:rsid w:val="00A4769D"/>
    <w:rsid w:val="00A51050"/>
    <w:rsid w:val="00A52038"/>
    <w:rsid w:val="00A524E5"/>
    <w:rsid w:val="00A558F3"/>
    <w:rsid w:val="00A55FBD"/>
    <w:rsid w:val="00A600B5"/>
    <w:rsid w:val="00A62585"/>
    <w:rsid w:val="00A62EA5"/>
    <w:rsid w:val="00A643E9"/>
    <w:rsid w:val="00A64B0B"/>
    <w:rsid w:val="00A672DA"/>
    <w:rsid w:val="00A67E03"/>
    <w:rsid w:val="00A7543B"/>
    <w:rsid w:val="00A762B6"/>
    <w:rsid w:val="00A8030B"/>
    <w:rsid w:val="00A8061D"/>
    <w:rsid w:val="00A806C8"/>
    <w:rsid w:val="00A80FC7"/>
    <w:rsid w:val="00A834BD"/>
    <w:rsid w:val="00A83DAD"/>
    <w:rsid w:val="00A854BB"/>
    <w:rsid w:val="00A87615"/>
    <w:rsid w:val="00A90D5F"/>
    <w:rsid w:val="00A95083"/>
    <w:rsid w:val="00A960CD"/>
    <w:rsid w:val="00A966A4"/>
    <w:rsid w:val="00AA054A"/>
    <w:rsid w:val="00AA2D28"/>
    <w:rsid w:val="00AA3FAD"/>
    <w:rsid w:val="00AA4150"/>
    <w:rsid w:val="00AA7882"/>
    <w:rsid w:val="00AB0227"/>
    <w:rsid w:val="00AB09C8"/>
    <w:rsid w:val="00AB196D"/>
    <w:rsid w:val="00AB1CAB"/>
    <w:rsid w:val="00AB1FCA"/>
    <w:rsid w:val="00AB4943"/>
    <w:rsid w:val="00AB5EEF"/>
    <w:rsid w:val="00AB6A2A"/>
    <w:rsid w:val="00AC28A4"/>
    <w:rsid w:val="00AC2E1B"/>
    <w:rsid w:val="00AC592B"/>
    <w:rsid w:val="00AC5D6C"/>
    <w:rsid w:val="00AD36C4"/>
    <w:rsid w:val="00AD38F0"/>
    <w:rsid w:val="00AD46AC"/>
    <w:rsid w:val="00AD47A0"/>
    <w:rsid w:val="00AD6065"/>
    <w:rsid w:val="00AD63A1"/>
    <w:rsid w:val="00AD68EE"/>
    <w:rsid w:val="00AE0A17"/>
    <w:rsid w:val="00AE35A2"/>
    <w:rsid w:val="00AE54E4"/>
    <w:rsid w:val="00AE6FEF"/>
    <w:rsid w:val="00AE72DB"/>
    <w:rsid w:val="00AE7EBD"/>
    <w:rsid w:val="00AF073F"/>
    <w:rsid w:val="00AF4726"/>
    <w:rsid w:val="00AF6288"/>
    <w:rsid w:val="00B00788"/>
    <w:rsid w:val="00B01F75"/>
    <w:rsid w:val="00B0215E"/>
    <w:rsid w:val="00B07136"/>
    <w:rsid w:val="00B07A11"/>
    <w:rsid w:val="00B07B21"/>
    <w:rsid w:val="00B1006F"/>
    <w:rsid w:val="00B10134"/>
    <w:rsid w:val="00B12237"/>
    <w:rsid w:val="00B1258C"/>
    <w:rsid w:val="00B1512E"/>
    <w:rsid w:val="00B15631"/>
    <w:rsid w:val="00B15818"/>
    <w:rsid w:val="00B27B8C"/>
    <w:rsid w:val="00B3154B"/>
    <w:rsid w:val="00B3691E"/>
    <w:rsid w:val="00B37AC5"/>
    <w:rsid w:val="00B40165"/>
    <w:rsid w:val="00B41551"/>
    <w:rsid w:val="00B41B69"/>
    <w:rsid w:val="00B4201A"/>
    <w:rsid w:val="00B42284"/>
    <w:rsid w:val="00B42F5F"/>
    <w:rsid w:val="00B4798B"/>
    <w:rsid w:val="00B47ACD"/>
    <w:rsid w:val="00B50F54"/>
    <w:rsid w:val="00B53660"/>
    <w:rsid w:val="00B5451F"/>
    <w:rsid w:val="00B55A2D"/>
    <w:rsid w:val="00B56370"/>
    <w:rsid w:val="00B57083"/>
    <w:rsid w:val="00B61B98"/>
    <w:rsid w:val="00B61BB7"/>
    <w:rsid w:val="00B62287"/>
    <w:rsid w:val="00B72210"/>
    <w:rsid w:val="00B7475F"/>
    <w:rsid w:val="00B75A35"/>
    <w:rsid w:val="00B81066"/>
    <w:rsid w:val="00B812BC"/>
    <w:rsid w:val="00B81B94"/>
    <w:rsid w:val="00B81FEC"/>
    <w:rsid w:val="00B84234"/>
    <w:rsid w:val="00B87BA0"/>
    <w:rsid w:val="00B91252"/>
    <w:rsid w:val="00B925B6"/>
    <w:rsid w:val="00B92614"/>
    <w:rsid w:val="00B92B27"/>
    <w:rsid w:val="00B94C99"/>
    <w:rsid w:val="00B96451"/>
    <w:rsid w:val="00B97B72"/>
    <w:rsid w:val="00BA01D8"/>
    <w:rsid w:val="00BA0285"/>
    <w:rsid w:val="00BA709A"/>
    <w:rsid w:val="00BA7A02"/>
    <w:rsid w:val="00BB1DEC"/>
    <w:rsid w:val="00BB69DC"/>
    <w:rsid w:val="00BB7CE3"/>
    <w:rsid w:val="00BC2A0A"/>
    <w:rsid w:val="00BC3C0E"/>
    <w:rsid w:val="00BC4249"/>
    <w:rsid w:val="00BC4689"/>
    <w:rsid w:val="00BC67C5"/>
    <w:rsid w:val="00BC780C"/>
    <w:rsid w:val="00BD3264"/>
    <w:rsid w:val="00BD63C7"/>
    <w:rsid w:val="00BE0C38"/>
    <w:rsid w:val="00BE349C"/>
    <w:rsid w:val="00BE37D4"/>
    <w:rsid w:val="00BE6CF9"/>
    <w:rsid w:val="00BF236F"/>
    <w:rsid w:val="00BF5177"/>
    <w:rsid w:val="00BF6AD5"/>
    <w:rsid w:val="00C0051A"/>
    <w:rsid w:val="00C020F3"/>
    <w:rsid w:val="00C04AB5"/>
    <w:rsid w:val="00C04BBB"/>
    <w:rsid w:val="00C05380"/>
    <w:rsid w:val="00C1082B"/>
    <w:rsid w:val="00C109F9"/>
    <w:rsid w:val="00C11295"/>
    <w:rsid w:val="00C11C24"/>
    <w:rsid w:val="00C11EE2"/>
    <w:rsid w:val="00C13361"/>
    <w:rsid w:val="00C1466C"/>
    <w:rsid w:val="00C173FE"/>
    <w:rsid w:val="00C273D0"/>
    <w:rsid w:val="00C2740A"/>
    <w:rsid w:val="00C3001D"/>
    <w:rsid w:val="00C30B07"/>
    <w:rsid w:val="00C33BBD"/>
    <w:rsid w:val="00C34157"/>
    <w:rsid w:val="00C34CDE"/>
    <w:rsid w:val="00C37330"/>
    <w:rsid w:val="00C37847"/>
    <w:rsid w:val="00C46860"/>
    <w:rsid w:val="00C468BE"/>
    <w:rsid w:val="00C50026"/>
    <w:rsid w:val="00C50EC6"/>
    <w:rsid w:val="00C52507"/>
    <w:rsid w:val="00C643E2"/>
    <w:rsid w:val="00C65E45"/>
    <w:rsid w:val="00C66B2C"/>
    <w:rsid w:val="00C66E10"/>
    <w:rsid w:val="00C67790"/>
    <w:rsid w:val="00C7125E"/>
    <w:rsid w:val="00C71E30"/>
    <w:rsid w:val="00C72BDE"/>
    <w:rsid w:val="00C7339B"/>
    <w:rsid w:val="00C7597C"/>
    <w:rsid w:val="00C81210"/>
    <w:rsid w:val="00C82E86"/>
    <w:rsid w:val="00C85BE7"/>
    <w:rsid w:val="00C92259"/>
    <w:rsid w:val="00C9371B"/>
    <w:rsid w:val="00C940F4"/>
    <w:rsid w:val="00C94CAF"/>
    <w:rsid w:val="00C95872"/>
    <w:rsid w:val="00CA01B7"/>
    <w:rsid w:val="00CA043A"/>
    <w:rsid w:val="00CA09CD"/>
    <w:rsid w:val="00CA10C2"/>
    <w:rsid w:val="00CA448D"/>
    <w:rsid w:val="00CA5BCD"/>
    <w:rsid w:val="00CA619C"/>
    <w:rsid w:val="00CA720C"/>
    <w:rsid w:val="00CB440F"/>
    <w:rsid w:val="00CB549E"/>
    <w:rsid w:val="00CB7EE6"/>
    <w:rsid w:val="00CC0978"/>
    <w:rsid w:val="00CC1722"/>
    <w:rsid w:val="00CC4739"/>
    <w:rsid w:val="00CC5397"/>
    <w:rsid w:val="00CC5E33"/>
    <w:rsid w:val="00CC61CC"/>
    <w:rsid w:val="00CC6EC9"/>
    <w:rsid w:val="00CD3052"/>
    <w:rsid w:val="00CD37C9"/>
    <w:rsid w:val="00CD3A2A"/>
    <w:rsid w:val="00CD69C5"/>
    <w:rsid w:val="00CE0782"/>
    <w:rsid w:val="00CE07AC"/>
    <w:rsid w:val="00CE234E"/>
    <w:rsid w:val="00CE23E7"/>
    <w:rsid w:val="00CE2572"/>
    <w:rsid w:val="00CE2B5E"/>
    <w:rsid w:val="00CE37F9"/>
    <w:rsid w:val="00CE47FB"/>
    <w:rsid w:val="00CE5CF8"/>
    <w:rsid w:val="00CE639A"/>
    <w:rsid w:val="00CE6E7C"/>
    <w:rsid w:val="00CF0115"/>
    <w:rsid w:val="00CF0E38"/>
    <w:rsid w:val="00CF25FB"/>
    <w:rsid w:val="00CF41ED"/>
    <w:rsid w:val="00CF49C4"/>
    <w:rsid w:val="00CF4CF7"/>
    <w:rsid w:val="00CF53EA"/>
    <w:rsid w:val="00CF593A"/>
    <w:rsid w:val="00CF62A2"/>
    <w:rsid w:val="00D0106E"/>
    <w:rsid w:val="00D01F52"/>
    <w:rsid w:val="00D03AF3"/>
    <w:rsid w:val="00D04298"/>
    <w:rsid w:val="00D0479B"/>
    <w:rsid w:val="00D048A6"/>
    <w:rsid w:val="00D04C98"/>
    <w:rsid w:val="00D0510F"/>
    <w:rsid w:val="00D102AB"/>
    <w:rsid w:val="00D10C23"/>
    <w:rsid w:val="00D1249E"/>
    <w:rsid w:val="00D12882"/>
    <w:rsid w:val="00D15082"/>
    <w:rsid w:val="00D16794"/>
    <w:rsid w:val="00D16A92"/>
    <w:rsid w:val="00D17F23"/>
    <w:rsid w:val="00D2047F"/>
    <w:rsid w:val="00D265ED"/>
    <w:rsid w:val="00D27836"/>
    <w:rsid w:val="00D27A95"/>
    <w:rsid w:val="00D27E22"/>
    <w:rsid w:val="00D3359D"/>
    <w:rsid w:val="00D346B8"/>
    <w:rsid w:val="00D36A5B"/>
    <w:rsid w:val="00D40A50"/>
    <w:rsid w:val="00D4204D"/>
    <w:rsid w:val="00D44423"/>
    <w:rsid w:val="00D455AF"/>
    <w:rsid w:val="00D459EF"/>
    <w:rsid w:val="00D4687B"/>
    <w:rsid w:val="00D46BA5"/>
    <w:rsid w:val="00D46E57"/>
    <w:rsid w:val="00D470E9"/>
    <w:rsid w:val="00D51781"/>
    <w:rsid w:val="00D5274A"/>
    <w:rsid w:val="00D52FEA"/>
    <w:rsid w:val="00D550D6"/>
    <w:rsid w:val="00D5551B"/>
    <w:rsid w:val="00D55CDD"/>
    <w:rsid w:val="00D560FE"/>
    <w:rsid w:val="00D570EC"/>
    <w:rsid w:val="00D60786"/>
    <w:rsid w:val="00D60B80"/>
    <w:rsid w:val="00D60E23"/>
    <w:rsid w:val="00D631A2"/>
    <w:rsid w:val="00D63847"/>
    <w:rsid w:val="00D65446"/>
    <w:rsid w:val="00D7054E"/>
    <w:rsid w:val="00D73156"/>
    <w:rsid w:val="00D73C96"/>
    <w:rsid w:val="00D7482D"/>
    <w:rsid w:val="00D763F8"/>
    <w:rsid w:val="00D775FF"/>
    <w:rsid w:val="00D82195"/>
    <w:rsid w:val="00D82EBF"/>
    <w:rsid w:val="00D83095"/>
    <w:rsid w:val="00D8319B"/>
    <w:rsid w:val="00D83C27"/>
    <w:rsid w:val="00D8554E"/>
    <w:rsid w:val="00D85F4B"/>
    <w:rsid w:val="00D904E6"/>
    <w:rsid w:val="00D91106"/>
    <w:rsid w:val="00D93346"/>
    <w:rsid w:val="00D94320"/>
    <w:rsid w:val="00D9478D"/>
    <w:rsid w:val="00DA171C"/>
    <w:rsid w:val="00DA2B67"/>
    <w:rsid w:val="00DA2F40"/>
    <w:rsid w:val="00DA6482"/>
    <w:rsid w:val="00DA6E2D"/>
    <w:rsid w:val="00DB0F32"/>
    <w:rsid w:val="00DB22CC"/>
    <w:rsid w:val="00DB3E90"/>
    <w:rsid w:val="00DC24C7"/>
    <w:rsid w:val="00DC3DB1"/>
    <w:rsid w:val="00DC4B9F"/>
    <w:rsid w:val="00DC565E"/>
    <w:rsid w:val="00DD11F3"/>
    <w:rsid w:val="00DD170C"/>
    <w:rsid w:val="00DD2574"/>
    <w:rsid w:val="00DD25B5"/>
    <w:rsid w:val="00DD2612"/>
    <w:rsid w:val="00DD2889"/>
    <w:rsid w:val="00DD2CC7"/>
    <w:rsid w:val="00DD377C"/>
    <w:rsid w:val="00DD3D0A"/>
    <w:rsid w:val="00DD469E"/>
    <w:rsid w:val="00DD4D5D"/>
    <w:rsid w:val="00DD53E5"/>
    <w:rsid w:val="00DD5420"/>
    <w:rsid w:val="00DD70FE"/>
    <w:rsid w:val="00DE42D0"/>
    <w:rsid w:val="00DE4AF4"/>
    <w:rsid w:val="00DF0D2D"/>
    <w:rsid w:val="00DF0DF1"/>
    <w:rsid w:val="00DF1CD1"/>
    <w:rsid w:val="00DF7407"/>
    <w:rsid w:val="00E004FC"/>
    <w:rsid w:val="00E040D0"/>
    <w:rsid w:val="00E05F1B"/>
    <w:rsid w:val="00E10A21"/>
    <w:rsid w:val="00E10E98"/>
    <w:rsid w:val="00E11B35"/>
    <w:rsid w:val="00E12B6E"/>
    <w:rsid w:val="00E14E88"/>
    <w:rsid w:val="00E17251"/>
    <w:rsid w:val="00E21A14"/>
    <w:rsid w:val="00E227FC"/>
    <w:rsid w:val="00E22AB7"/>
    <w:rsid w:val="00E256E1"/>
    <w:rsid w:val="00E27747"/>
    <w:rsid w:val="00E3127D"/>
    <w:rsid w:val="00E32E1D"/>
    <w:rsid w:val="00E35588"/>
    <w:rsid w:val="00E414E7"/>
    <w:rsid w:val="00E41FD2"/>
    <w:rsid w:val="00E42C3D"/>
    <w:rsid w:val="00E45B8C"/>
    <w:rsid w:val="00E4663D"/>
    <w:rsid w:val="00E51585"/>
    <w:rsid w:val="00E516B2"/>
    <w:rsid w:val="00E55B1A"/>
    <w:rsid w:val="00E5758E"/>
    <w:rsid w:val="00E65C38"/>
    <w:rsid w:val="00E66ADC"/>
    <w:rsid w:val="00E66B7D"/>
    <w:rsid w:val="00E70F8B"/>
    <w:rsid w:val="00E71AC4"/>
    <w:rsid w:val="00E725D4"/>
    <w:rsid w:val="00E75716"/>
    <w:rsid w:val="00E76917"/>
    <w:rsid w:val="00E830DC"/>
    <w:rsid w:val="00E835BA"/>
    <w:rsid w:val="00E86477"/>
    <w:rsid w:val="00E86B72"/>
    <w:rsid w:val="00E9083D"/>
    <w:rsid w:val="00E90A0F"/>
    <w:rsid w:val="00E936AC"/>
    <w:rsid w:val="00E95053"/>
    <w:rsid w:val="00E9519F"/>
    <w:rsid w:val="00E973C1"/>
    <w:rsid w:val="00EA1824"/>
    <w:rsid w:val="00EA272B"/>
    <w:rsid w:val="00EA2D87"/>
    <w:rsid w:val="00EA45E4"/>
    <w:rsid w:val="00EA598A"/>
    <w:rsid w:val="00EA5F65"/>
    <w:rsid w:val="00EA702E"/>
    <w:rsid w:val="00EB1799"/>
    <w:rsid w:val="00EB26F2"/>
    <w:rsid w:val="00EB34FA"/>
    <w:rsid w:val="00EB3C2A"/>
    <w:rsid w:val="00EC0462"/>
    <w:rsid w:val="00EC288E"/>
    <w:rsid w:val="00EC2C63"/>
    <w:rsid w:val="00EC5636"/>
    <w:rsid w:val="00EC5EC0"/>
    <w:rsid w:val="00ED1370"/>
    <w:rsid w:val="00ED7842"/>
    <w:rsid w:val="00ED7A94"/>
    <w:rsid w:val="00EE5C90"/>
    <w:rsid w:val="00EE6013"/>
    <w:rsid w:val="00EE74AF"/>
    <w:rsid w:val="00EF05D1"/>
    <w:rsid w:val="00EF0F66"/>
    <w:rsid w:val="00EF2076"/>
    <w:rsid w:val="00EF2278"/>
    <w:rsid w:val="00EF6223"/>
    <w:rsid w:val="00EF7854"/>
    <w:rsid w:val="00EF7D2C"/>
    <w:rsid w:val="00F02518"/>
    <w:rsid w:val="00F026FC"/>
    <w:rsid w:val="00F031B7"/>
    <w:rsid w:val="00F04158"/>
    <w:rsid w:val="00F101AB"/>
    <w:rsid w:val="00F10A6C"/>
    <w:rsid w:val="00F12005"/>
    <w:rsid w:val="00F12C8F"/>
    <w:rsid w:val="00F16D98"/>
    <w:rsid w:val="00F204EF"/>
    <w:rsid w:val="00F207B5"/>
    <w:rsid w:val="00F223A0"/>
    <w:rsid w:val="00F23591"/>
    <w:rsid w:val="00F24025"/>
    <w:rsid w:val="00F25663"/>
    <w:rsid w:val="00F25A7A"/>
    <w:rsid w:val="00F310B0"/>
    <w:rsid w:val="00F344C2"/>
    <w:rsid w:val="00F34550"/>
    <w:rsid w:val="00F34B21"/>
    <w:rsid w:val="00F34C86"/>
    <w:rsid w:val="00F3752C"/>
    <w:rsid w:val="00F40ABA"/>
    <w:rsid w:val="00F43408"/>
    <w:rsid w:val="00F51900"/>
    <w:rsid w:val="00F51C5E"/>
    <w:rsid w:val="00F52AE9"/>
    <w:rsid w:val="00F531D0"/>
    <w:rsid w:val="00F5368B"/>
    <w:rsid w:val="00F54412"/>
    <w:rsid w:val="00F557FC"/>
    <w:rsid w:val="00F60252"/>
    <w:rsid w:val="00F62E3B"/>
    <w:rsid w:val="00F634B4"/>
    <w:rsid w:val="00F6459E"/>
    <w:rsid w:val="00F6578E"/>
    <w:rsid w:val="00F65EA8"/>
    <w:rsid w:val="00F663B0"/>
    <w:rsid w:val="00F66FDC"/>
    <w:rsid w:val="00F67B4E"/>
    <w:rsid w:val="00F729B0"/>
    <w:rsid w:val="00F73C63"/>
    <w:rsid w:val="00F74BBE"/>
    <w:rsid w:val="00F764B3"/>
    <w:rsid w:val="00F76C7B"/>
    <w:rsid w:val="00F80889"/>
    <w:rsid w:val="00F83AE9"/>
    <w:rsid w:val="00F85597"/>
    <w:rsid w:val="00F85B09"/>
    <w:rsid w:val="00F86217"/>
    <w:rsid w:val="00F915C7"/>
    <w:rsid w:val="00F926DA"/>
    <w:rsid w:val="00F9354F"/>
    <w:rsid w:val="00F9538D"/>
    <w:rsid w:val="00F95C2B"/>
    <w:rsid w:val="00F97D29"/>
    <w:rsid w:val="00FA14B4"/>
    <w:rsid w:val="00FA52D7"/>
    <w:rsid w:val="00FB2449"/>
    <w:rsid w:val="00FB2DC7"/>
    <w:rsid w:val="00FB3A8B"/>
    <w:rsid w:val="00FB416D"/>
    <w:rsid w:val="00FC4E50"/>
    <w:rsid w:val="00FC6989"/>
    <w:rsid w:val="00FD19D9"/>
    <w:rsid w:val="00FD2825"/>
    <w:rsid w:val="00FD417C"/>
    <w:rsid w:val="00FD627A"/>
    <w:rsid w:val="00FE04CB"/>
    <w:rsid w:val="00FE0CFB"/>
    <w:rsid w:val="00FE14A0"/>
    <w:rsid w:val="00FE1834"/>
    <w:rsid w:val="00FE2CE1"/>
    <w:rsid w:val="00FE30F2"/>
    <w:rsid w:val="00FF4F30"/>
    <w:rsid w:val="0A512A45"/>
    <w:rsid w:val="0E2A943E"/>
    <w:rsid w:val="14B209B4"/>
    <w:rsid w:val="16376D6B"/>
    <w:rsid w:val="19505845"/>
    <w:rsid w:val="29B18EE7"/>
    <w:rsid w:val="2A0D2C4D"/>
    <w:rsid w:val="2FDFA122"/>
    <w:rsid w:val="31FB320F"/>
    <w:rsid w:val="322A8D71"/>
    <w:rsid w:val="34FD072D"/>
    <w:rsid w:val="362B66DE"/>
    <w:rsid w:val="3DCFFDAD"/>
    <w:rsid w:val="3EA81C5A"/>
    <w:rsid w:val="44A11BFE"/>
    <w:rsid w:val="465CBF10"/>
    <w:rsid w:val="470F151A"/>
    <w:rsid w:val="47464A6C"/>
    <w:rsid w:val="4E796839"/>
    <w:rsid w:val="537E443C"/>
    <w:rsid w:val="56C2FB35"/>
    <w:rsid w:val="57E5730C"/>
    <w:rsid w:val="580150E3"/>
    <w:rsid w:val="5EA11D0F"/>
    <w:rsid w:val="6295CF54"/>
    <w:rsid w:val="62C2EEB0"/>
    <w:rsid w:val="62CE3DCF"/>
    <w:rsid w:val="63F337C8"/>
    <w:rsid w:val="66EFF6F3"/>
    <w:rsid w:val="68DB24CF"/>
    <w:rsid w:val="70D48987"/>
    <w:rsid w:val="7298E248"/>
    <w:rsid w:val="79232228"/>
    <w:rsid w:val="7D660A1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000B15B"/>
  <w15:docId w15:val="{C2FC6FB1-73AA-4FA8-84B9-F9AA8B6ED9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102AB"/>
    <w:pPr>
      <w:widowControl/>
      <w:autoSpaceDE/>
      <w:autoSpaceDN/>
    </w:pPr>
    <w:rPr>
      <w:sz w:val="24"/>
      <w:szCs w:val="24"/>
      <w:lang w:val="en-GB"/>
    </w:rPr>
  </w:style>
  <w:style w:type="paragraph" w:styleId="Heading1">
    <w:name w:val="heading 1"/>
    <w:aliases w:val="ICAS | Heading"/>
    <w:basedOn w:val="Normal"/>
    <w:next w:val="Normal"/>
    <w:link w:val="Heading1Char"/>
    <w:uiPriority w:val="9"/>
    <w:qFormat/>
    <w:rsid w:val="00A32FB1"/>
    <w:pPr>
      <w:spacing w:after="280"/>
      <w:outlineLvl w:val="0"/>
    </w:pPr>
    <w:rPr>
      <w:rFonts w:ascii="Arial" w:hAnsi="Arial" w:cs="Arial"/>
      <w:color w:val="4D46D9" w:themeColor="text2"/>
      <w:sz w:val="40"/>
      <w:szCs w:val="40"/>
    </w:rPr>
  </w:style>
  <w:style w:type="paragraph" w:styleId="Heading2">
    <w:name w:val="heading 2"/>
    <w:aliases w:val="ICAS | Subhead 2"/>
    <w:basedOn w:val="Normal"/>
    <w:next w:val="Normal"/>
    <w:link w:val="Heading2Char"/>
    <w:uiPriority w:val="9"/>
    <w:unhideWhenUsed/>
    <w:qFormat/>
    <w:rsid w:val="0041374D"/>
    <w:pPr>
      <w:spacing w:before="240" w:after="240"/>
      <w:outlineLvl w:val="1"/>
    </w:pPr>
    <w:rPr>
      <w:rFonts w:ascii="Arial" w:hAnsi="Arial" w:cs="Arial"/>
      <w:b/>
      <w:bCs/>
      <w:color w:val="000000"/>
      <w:sz w:val="28"/>
      <w:szCs w:val="28"/>
    </w:rPr>
  </w:style>
  <w:style w:type="paragraph" w:styleId="Heading3">
    <w:name w:val="heading 3"/>
    <w:basedOn w:val="Normal"/>
    <w:next w:val="Normal"/>
    <w:link w:val="Heading3Char"/>
    <w:uiPriority w:val="9"/>
    <w:unhideWhenUsed/>
    <w:qFormat/>
    <w:rsid w:val="006A688B"/>
    <w:pPr>
      <w:keepNext/>
      <w:keepLines/>
      <w:spacing w:before="240" w:after="240"/>
      <w:outlineLvl w:val="2"/>
    </w:pPr>
    <w:rPr>
      <w:rFonts w:ascii="Arial" w:eastAsiaTheme="majorEastAsia" w:hAnsi="Arial" w:cstheme="majorBidi"/>
      <w:color w:val="4D46D9" w:themeColor="text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0"/>
      <w:szCs w:val="20"/>
    </w:rPr>
  </w:style>
  <w:style w:type="paragraph" w:styleId="ListParagraph">
    <w:name w:val="List Paragraph"/>
    <w:basedOn w:val="Normal"/>
    <w:uiPriority w:val="1"/>
    <w:qFormat/>
    <w:pPr>
      <w:spacing w:line="244" w:lineRule="exact"/>
      <w:ind w:left="838" w:hanging="361"/>
    </w:pPr>
  </w:style>
  <w:style w:type="paragraph" w:customStyle="1" w:styleId="TableParagraph">
    <w:name w:val="Table Paragraph"/>
    <w:basedOn w:val="Normal"/>
    <w:uiPriority w:val="1"/>
    <w:qFormat/>
  </w:style>
  <w:style w:type="paragraph" w:customStyle="1" w:styleId="ICASWebHeading">
    <w:name w:val="ICAS Web Heading"/>
    <w:basedOn w:val="Normal"/>
    <w:next w:val="Normal"/>
    <w:rsid w:val="00880E84"/>
    <w:pPr>
      <w:shd w:val="clear" w:color="auto" w:fill="D9D9D9"/>
      <w:spacing w:before="100" w:beforeAutospacing="1" w:after="100" w:afterAutospacing="1"/>
    </w:pPr>
    <w:rPr>
      <w:rFonts w:eastAsia="Times New Roman" w:cs="Times New Roman"/>
      <w:b/>
      <w:caps/>
    </w:rPr>
  </w:style>
  <w:style w:type="character" w:styleId="Hyperlink">
    <w:name w:val="Hyperlink"/>
    <w:basedOn w:val="DefaultParagraphFont"/>
    <w:uiPriority w:val="99"/>
    <w:unhideWhenUsed/>
    <w:rsid w:val="00D102AB"/>
    <w:rPr>
      <w:rFonts w:ascii="Arial" w:hAnsi="Arial"/>
      <w:color w:val="0070C0"/>
      <w:sz w:val="20"/>
      <w:u w:val="single"/>
    </w:rPr>
  </w:style>
  <w:style w:type="character" w:styleId="UnresolvedMention">
    <w:name w:val="Unresolved Mention"/>
    <w:basedOn w:val="DefaultParagraphFont"/>
    <w:uiPriority w:val="99"/>
    <w:unhideWhenUsed/>
    <w:rsid w:val="00A32FB1"/>
    <w:rPr>
      <w:color w:val="605E5C"/>
      <w:shd w:val="clear" w:color="auto" w:fill="E1DFDD"/>
    </w:rPr>
  </w:style>
  <w:style w:type="character" w:styleId="FollowedHyperlink">
    <w:name w:val="FollowedHyperlink"/>
    <w:basedOn w:val="DefaultParagraphFont"/>
    <w:uiPriority w:val="99"/>
    <w:semiHidden/>
    <w:unhideWhenUsed/>
    <w:rsid w:val="00D102AB"/>
    <w:rPr>
      <w:rFonts w:ascii="Arial" w:hAnsi="Arial"/>
      <w:color w:val="0070C0"/>
      <w:sz w:val="20"/>
      <w:u w:val="single"/>
    </w:rPr>
  </w:style>
  <w:style w:type="paragraph" w:styleId="Header">
    <w:name w:val="header"/>
    <w:aliases w:val="ICAS | Table Heading"/>
    <w:basedOn w:val="Normal"/>
    <w:link w:val="HeaderChar"/>
    <w:uiPriority w:val="99"/>
    <w:unhideWhenUsed/>
    <w:rsid w:val="00A32FB1"/>
    <w:rPr>
      <w:rFonts w:ascii="Arial" w:hAnsi="Arial" w:cs="Arial"/>
      <w:b/>
      <w:bCs/>
      <w:color w:val="FFFFFF" w:themeColor="background1"/>
      <w:sz w:val="20"/>
      <w:szCs w:val="20"/>
    </w:rPr>
  </w:style>
  <w:style w:type="character" w:customStyle="1" w:styleId="HeaderChar">
    <w:name w:val="Header Char"/>
    <w:aliases w:val="ICAS | Table Heading Char"/>
    <w:basedOn w:val="DefaultParagraphFont"/>
    <w:link w:val="Header"/>
    <w:uiPriority w:val="99"/>
    <w:rsid w:val="00A32FB1"/>
    <w:rPr>
      <w:rFonts w:ascii="Arial" w:hAnsi="Arial" w:cs="Arial"/>
      <w:b/>
      <w:bCs/>
      <w:color w:val="FFFFFF" w:themeColor="background1"/>
      <w:sz w:val="20"/>
      <w:szCs w:val="20"/>
      <w:lang w:val="en-GB"/>
    </w:rPr>
  </w:style>
  <w:style w:type="paragraph" w:styleId="Footer">
    <w:name w:val="footer"/>
    <w:basedOn w:val="Normal"/>
    <w:link w:val="FooterChar"/>
    <w:uiPriority w:val="99"/>
    <w:unhideWhenUsed/>
    <w:rsid w:val="00A32FB1"/>
    <w:pPr>
      <w:tabs>
        <w:tab w:val="center" w:pos="4513"/>
        <w:tab w:val="right" w:pos="9026"/>
      </w:tabs>
    </w:pPr>
  </w:style>
  <w:style w:type="character" w:customStyle="1" w:styleId="FooterChar">
    <w:name w:val="Footer Char"/>
    <w:basedOn w:val="DefaultParagraphFont"/>
    <w:link w:val="Footer"/>
    <w:uiPriority w:val="99"/>
    <w:rsid w:val="00A32FB1"/>
    <w:rPr>
      <w:sz w:val="24"/>
      <w:szCs w:val="24"/>
      <w:lang w:val="en-GB"/>
    </w:rPr>
  </w:style>
  <w:style w:type="table" w:styleId="TableGrid">
    <w:name w:val="Table Grid"/>
    <w:basedOn w:val="TableNormal"/>
    <w:uiPriority w:val="39"/>
    <w:rsid w:val="00A32FB1"/>
    <w:pPr>
      <w:widowControl/>
      <w:autoSpaceDE/>
      <w:autoSpaceDN/>
    </w:pPr>
    <w:rPr>
      <w:sz w:val="24"/>
      <w:szCs w:val="24"/>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4A0A4C"/>
    <w:rPr>
      <w:sz w:val="16"/>
      <w:szCs w:val="16"/>
    </w:rPr>
  </w:style>
  <w:style w:type="paragraph" w:styleId="CommentText">
    <w:name w:val="annotation text"/>
    <w:basedOn w:val="Normal"/>
    <w:link w:val="CommentTextChar"/>
    <w:uiPriority w:val="99"/>
    <w:semiHidden/>
    <w:unhideWhenUsed/>
    <w:rsid w:val="004A0A4C"/>
    <w:rPr>
      <w:sz w:val="20"/>
      <w:szCs w:val="20"/>
    </w:rPr>
  </w:style>
  <w:style w:type="character" w:customStyle="1" w:styleId="CommentTextChar">
    <w:name w:val="Comment Text Char"/>
    <w:basedOn w:val="DefaultParagraphFont"/>
    <w:link w:val="CommentText"/>
    <w:uiPriority w:val="99"/>
    <w:semiHidden/>
    <w:rsid w:val="004A0A4C"/>
    <w:rPr>
      <w:rFonts w:ascii="Arial" w:eastAsia="Arial" w:hAnsi="Arial" w:cs="Arial"/>
      <w:sz w:val="20"/>
      <w:szCs w:val="20"/>
      <w:lang w:bidi="en-US"/>
    </w:rPr>
  </w:style>
  <w:style w:type="paragraph" w:styleId="CommentSubject">
    <w:name w:val="annotation subject"/>
    <w:basedOn w:val="CommentText"/>
    <w:next w:val="CommentText"/>
    <w:link w:val="CommentSubjectChar"/>
    <w:uiPriority w:val="99"/>
    <w:semiHidden/>
    <w:unhideWhenUsed/>
    <w:rsid w:val="004A0A4C"/>
    <w:rPr>
      <w:b/>
      <w:bCs/>
    </w:rPr>
  </w:style>
  <w:style w:type="character" w:customStyle="1" w:styleId="CommentSubjectChar">
    <w:name w:val="Comment Subject Char"/>
    <w:basedOn w:val="CommentTextChar"/>
    <w:link w:val="CommentSubject"/>
    <w:uiPriority w:val="99"/>
    <w:semiHidden/>
    <w:rsid w:val="004A0A4C"/>
    <w:rPr>
      <w:rFonts w:ascii="Arial" w:eastAsia="Arial" w:hAnsi="Arial" w:cs="Arial"/>
      <w:b/>
      <w:bCs/>
      <w:sz w:val="20"/>
      <w:szCs w:val="20"/>
      <w:lang w:bidi="en-US"/>
    </w:rPr>
  </w:style>
  <w:style w:type="paragraph" w:styleId="BalloonText">
    <w:name w:val="Balloon Text"/>
    <w:basedOn w:val="Normal"/>
    <w:link w:val="BalloonTextChar"/>
    <w:uiPriority w:val="99"/>
    <w:semiHidden/>
    <w:unhideWhenUsed/>
    <w:rsid w:val="004A0A4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A0A4C"/>
    <w:rPr>
      <w:rFonts w:ascii="Segoe UI" w:eastAsia="Arial" w:hAnsi="Segoe UI" w:cs="Segoe UI"/>
      <w:sz w:val="18"/>
      <w:szCs w:val="18"/>
      <w:lang w:bidi="en-US"/>
    </w:rPr>
  </w:style>
  <w:style w:type="character" w:styleId="Mention">
    <w:name w:val="Mention"/>
    <w:basedOn w:val="DefaultParagraphFont"/>
    <w:uiPriority w:val="99"/>
    <w:unhideWhenUsed/>
    <w:rsid w:val="00B55A2D"/>
    <w:rPr>
      <w:color w:val="2B579A"/>
      <w:shd w:val="clear" w:color="auto" w:fill="E6E6E6"/>
    </w:rPr>
  </w:style>
  <w:style w:type="character" w:customStyle="1" w:styleId="apple-converted-space">
    <w:name w:val="apple-converted-space"/>
    <w:basedOn w:val="DefaultParagraphFont"/>
    <w:rsid w:val="00A32FB1"/>
  </w:style>
  <w:style w:type="numbering" w:customStyle="1" w:styleId="CurrentList1">
    <w:name w:val="Current List1"/>
    <w:uiPriority w:val="99"/>
    <w:rsid w:val="00A32FB1"/>
    <w:pPr>
      <w:numPr>
        <w:numId w:val="22"/>
      </w:numPr>
    </w:pPr>
  </w:style>
  <w:style w:type="character" w:customStyle="1" w:styleId="Heading1Char">
    <w:name w:val="Heading 1 Char"/>
    <w:aliases w:val="ICAS | Heading Char"/>
    <w:basedOn w:val="DefaultParagraphFont"/>
    <w:link w:val="Heading1"/>
    <w:uiPriority w:val="9"/>
    <w:rsid w:val="00A32FB1"/>
    <w:rPr>
      <w:rFonts w:ascii="Arial" w:hAnsi="Arial" w:cs="Arial"/>
      <w:color w:val="4D46D9" w:themeColor="text2"/>
      <w:sz w:val="40"/>
      <w:szCs w:val="40"/>
      <w:lang w:val="en-GB"/>
    </w:rPr>
  </w:style>
  <w:style w:type="character" w:customStyle="1" w:styleId="Heading2Char">
    <w:name w:val="Heading 2 Char"/>
    <w:aliases w:val="ICAS | Subhead 2 Char"/>
    <w:basedOn w:val="DefaultParagraphFont"/>
    <w:link w:val="Heading2"/>
    <w:uiPriority w:val="9"/>
    <w:rsid w:val="0041374D"/>
    <w:rPr>
      <w:rFonts w:ascii="Arial" w:hAnsi="Arial" w:cs="Arial"/>
      <w:b/>
      <w:bCs/>
      <w:color w:val="000000"/>
      <w:sz w:val="28"/>
      <w:szCs w:val="28"/>
      <w:lang w:val="en-GB"/>
    </w:rPr>
  </w:style>
  <w:style w:type="character" w:customStyle="1" w:styleId="Heading3Char">
    <w:name w:val="Heading 3 Char"/>
    <w:basedOn w:val="DefaultParagraphFont"/>
    <w:link w:val="Heading3"/>
    <w:uiPriority w:val="9"/>
    <w:rsid w:val="006A688B"/>
    <w:rPr>
      <w:rFonts w:ascii="Arial" w:eastAsiaTheme="majorEastAsia" w:hAnsi="Arial" w:cstheme="majorBidi"/>
      <w:color w:val="4D46D9" w:themeColor="text2"/>
      <w:sz w:val="24"/>
      <w:szCs w:val="24"/>
      <w:lang w:val="en-GB"/>
    </w:rPr>
  </w:style>
  <w:style w:type="paragraph" w:styleId="NoSpacing">
    <w:name w:val="No Spacing"/>
    <w:aliases w:val="ICAS | Body Copy"/>
    <w:basedOn w:val="Normal"/>
    <w:link w:val="NoSpacingChar"/>
    <w:uiPriority w:val="1"/>
    <w:qFormat/>
    <w:rsid w:val="00A32FB1"/>
    <w:rPr>
      <w:rFonts w:ascii="Arial" w:hAnsi="Arial" w:cs="Arial"/>
      <w:color w:val="000000"/>
      <w:sz w:val="20"/>
      <w:szCs w:val="20"/>
    </w:rPr>
  </w:style>
  <w:style w:type="character" w:customStyle="1" w:styleId="NoSpacingChar">
    <w:name w:val="No Spacing Char"/>
    <w:aliases w:val="ICAS | Body Copy Char"/>
    <w:basedOn w:val="DefaultParagraphFont"/>
    <w:link w:val="NoSpacing"/>
    <w:uiPriority w:val="1"/>
    <w:rsid w:val="00A32FB1"/>
    <w:rPr>
      <w:rFonts w:ascii="Arial" w:hAnsi="Arial" w:cs="Arial"/>
      <w:color w:val="000000"/>
      <w:sz w:val="20"/>
      <w:szCs w:val="20"/>
      <w:lang w:val="en-GB"/>
    </w:rPr>
  </w:style>
  <w:style w:type="paragraph" w:customStyle="1" w:styleId="ICASBody">
    <w:name w:val="ICAS | Body"/>
    <w:basedOn w:val="NoSpacing"/>
    <w:qFormat/>
    <w:rsid w:val="00A32FB1"/>
    <w:pPr>
      <w:spacing w:after="240"/>
    </w:pPr>
  </w:style>
  <w:style w:type="paragraph" w:customStyle="1" w:styleId="ICASBoxOutBody">
    <w:name w:val="ICAS | Box Out Body"/>
    <w:basedOn w:val="Normal"/>
    <w:qFormat/>
    <w:rsid w:val="00A03D34"/>
    <w:rPr>
      <w:rFonts w:ascii="Arial" w:hAnsi="Arial"/>
      <w:color w:val="2B3841" w:themeColor="text1"/>
      <w:sz w:val="20"/>
      <w:szCs w:val="20"/>
    </w:rPr>
  </w:style>
  <w:style w:type="paragraph" w:customStyle="1" w:styleId="ICASBoxOutHeading">
    <w:name w:val="ICAS | Box Out Heading"/>
    <w:basedOn w:val="Normal"/>
    <w:qFormat/>
    <w:rsid w:val="00A03D34"/>
    <w:rPr>
      <w:rFonts w:ascii="Arial" w:hAnsi="Arial"/>
      <w:b/>
      <w:bCs/>
      <w:color w:val="2B3841" w:themeColor="text1"/>
      <w:sz w:val="20"/>
      <w:szCs w:val="20"/>
    </w:rPr>
  </w:style>
  <w:style w:type="paragraph" w:customStyle="1" w:styleId="ICASBulletssecondlevel">
    <w:name w:val="ICAS | Bullets – second level"/>
    <w:basedOn w:val="Normal"/>
    <w:qFormat/>
    <w:rsid w:val="00A32FB1"/>
    <w:pPr>
      <w:numPr>
        <w:numId w:val="23"/>
      </w:numPr>
      <w:spacing w:after="86" w:line="276" w:lineRule="auto"/>
      <w:contextualSpacing/>
    </w:pPr>
    <w:rPr>
      <w:rFonts w:ascii="Arial" w:hAnsi="Arial" w:cs="Arial"/>
      <w:color w:val="000000"/>
      <w:sz w:val="20"/>
      <w:szCs w:val="20"/>
      <w:lang w:eastAsia="en-GB"/>
    </w:rPr>
  </w:style>
  <w:style w:type="paragraph" w:customStyle="1" w:styleId="ICASCoverHeadingWhite">
    <w:name w:val="ICAS | Cover Heading – White"/>
    <w:basedOn w:val="Normal"/>
    <w:qFormat/>
    <w:rsid w:val="00A32FB1"/>
    <w:pPr>
      <w:snapToGrid w:val="0"/>
    </w:pPr>
    <w:rPr>
      <w:rFonts w:ascii="Arial" w:hAnsi="Arial" w:cs="Arial"/>
      <w:b/>
      <w:bCs/>
      <w:color w:val="FFFFFF" w:themeColor="background1"/>
      <w:sz w:val="124"/>
      <w:szCs w:val="124"/>
    </w:rPr>
  </w:style>
  <w:style w:type="paragraph" w:customStyle="1" w:styleId="ICASDateBlack">
    <w:name w:val="ICAS | Date – Black"/>
    <w:basedOn w:val="Normal"/>
    <w:qFormat/>
    <w:rsid w:val="00A32FB1"/>
    <w:pPr>
      <w:spacing w:line="276" w:lineRule="auto"/>
    </w:pPr>
    <w:rPr>
      <w:sz w:val="28"/>
      <w:szCs w:val="28"/>
    </w:rPr>
  </w:style>
  <w:style w:type="paragraph" w:customStyle="1" w:styleId="ICASDateWhite">
    <w:name w:val="ICAS | Date – White"/>
    <w:basedOn w:val="Normal"/>
    <w:qFormat/>
    <w:rsid w:val="00A32FB1"/>
    <w:pPr>
      <w:spacing w:line="276" w:lineRule="auto"/>
    </w:pPr>
    <w:rPr>
      <w:color w:val="FFFFFF" w:themeColor="background1"/>
      <w:sz w:val="28"/>
      <w:szCs w:val="28"/>
    </w:rPr>
  </w:style>
  <w:style w:type="paragraph" w:customStyle="1" w:styleId="ICASQuote">
    <w:name w:val="ICAS | Quote"/>
    <w:basedOn w:val="Normal"/>
    <w:qFormat/>
    <w:rsid w:val="00A32FB1"/>
    <w:pPr>
      <w:spacing w:before="128" w:after="255" w:line="276" w:lineRule="auto"/>
      <w:ind w:left="128"/>
    </w:pPr>
    <w:rPr>
      <w:rFonts w:ascii="Arial" w:hAnsi="Arial" w:cs="Arial"/>
      <w:i/>
      <w:iCs/>
      <w:color w:val="2B3841" w:themeColor="text1"/>
      <w:sz w:val="20"/>
      <w:szCs w:val="20"/>
      <w:lang w:eastAsia="en-GB"/>
    </w:rPr>
  </w:style>
  <w:style w:type="paragraph" w:customStyle="1" w:styleId="ICASTableContent">
    <w:name w:val="ICAS | Table Content"/>
    <w:basedOn w:val="Normal"/>
    <w:qFormat/>
    <w:rsid w:val="00A32FB1"/>
    <w:rPr>
      <w:rFonts w:ascii="Arial" w:hAnsi="Arial" w:cs="Arial"/>
      <w:sz w:val="20"/>
      <w:szCs w:val="20"/>
    </w:rPr>
  </w:style>
  <w:style w:type="table" w:customStyle="1" w:styleId="ICASTableHeading">
    <w:name w:val="ICAS | Table Heading"/>
    <w:basedOn w:val="TableNormal"/>
    <w:uiPriority w:val="99"/>
    <w:rsid w:val="00A32FB1"/>
    <w:pPr>
      <w:widowControl/>
      <w:autoSpaceDE/>
      <w:autoSpaceDN/>
    </w:pPr>
    <w:rPr>
      <w:sz w:val="24"/>
      <w:szCs w:val="24"/>
      <w:lang w:val="en-GB"/>
    </w:rPr>
    <w:tblPr/>
  </w:style>
  <w:style w:type="paragraph" w:customStyle="1" w:styleId="ICASCoverHeadingBlack">
    <w:name w:val="ICAS | Cover Heading – Black"/>
    <w:basedOn w:val="Normal"/>
    <w:qFormat/>
    <w:rsid w:val="00A32FB1"/>
    <w:pPr>
      <w:snapToGrid w:val="0"/>
    </w:pPr>
    <w:rPr>
      <w:rFonts w:ascii="Arial" w:hAnsi="Arial" w:cs="Arial"/>
      <w:b/>
      <w:bCs/>
      <w:sz w:val="124"/>
      <w:szCs w:val="124"/>
    </w:rPr>
  </w:style>
  <w:style w:type="paragraph" w:customStyle="1" w:styleId="ICASPageNumber">
    <w:name w:val="ICAS | Page Number"/>
    <w:basedOn w:val="Footer"/>
    <w:qFormat/>
    <w:rsid w:val="00A32FB1"/>
    <w:pPr>
      <w:framePr w:wrap="none" w:vAnchor="text" w:hAnchor="margin" w:xAlign="right" w:y="1"/>
    </w:pPr>
    <w:rPr>
      <w:color w:val="000000"/>
      <w:sz w:val="20"/>
      <w:szCs w:val="20"/>
    </w:rPr>
  </w:style>
  <w:style w:type="paragraph" w:customStyle="1" w:styleId="ICASSubhead1">
    <w:name w:val="ICAS | Subhead 1"/>
    <w:basedOn w:val="Heading2"/>
    <w:qFormat/>
    <w:rsid w:val="00A32FB1"/>
    <w:pPr>
      <w:spacing w:after="280"/>
    </w:pPr>
  </w:style>
  <w:style w:type="character" w:styleId="PageNumber">
    <w:name w:val="page number"/>
    <w:basedOn w:val="DefaultParagraphFont"/>
    <w:uiPriority w:val="99"/>
    <w:semiHidden/>
    <w:unhideWhenUsed/>
    <w:rsid w:val="00A32FB1"/>
  </w:style>
  <w:style w:type="paragraph" w:styleId="Title">
    <w:name w:val="Title"/>
    <w:aliases w:val="ICAS | Bullets – first level"/>
    <w:basedOn w:val="Normal"/>
    <w:next w:val="Normal"/>
    <w:link w:val="TitleChar"/>
    <w:uiPriority w:val="10"/>
    <w:qFormat/>
    <w:rsid w:val="00A32FB1"/>
    <w:pPr>
      <w:numPr>
        <w:numId w:val="24"/>
      </w:numPr>
      <w:contextualSpacing/>
    </w:pPr>
    <w:rPr>
      <w:rFonts w:ascii="Arial" w:hAnsi="Arial" w:cs="Arial"/>
      <w:sz w:val="20"/>
      <w:szCs w:val="20"/>
    </w:rPr>
  </w:style>
  <w:style w:type="character" w:customStyle="1" w:styleId="TitleChar">
    <w:name w:val="Title Char"/>
    <w:aliases w:val="ICAS | Bullets – first level Char"/>
    <w:basedOn w:val="DefaultParagraphFont"/>
    <w:link w:val="Title"/>
    <w:uiPriority w:val="10"/>
    <w:rsid w:val="00A32FB1"/>
    <w:rPr>
      <w:rFonts w:ascii="Arial" w:hAnsi="Arial" w:cs="Arial"/>
      <w:sz w:val="20"/>
      <w:szCs w:val="20"/>
      <w:lang w:val="en-GB"/>
    </w:rPr>
  </w:style>
  <w:style w:type="character" w:styleId="IntenseEmphasis">
    <w:name w:val="Intense Emphasis"/>
    <w:basedOn w:val="DefaultParagraphFont"/>
    <w:uiPriority w:val="21"/>
    <w:qFormat/>
    <w:rsid w:val="00461B4E"/>
    <w:rPr>
      <w:i/>
      <w:iCs/>
      <w:color w:val="8393A8" w:themeColor="accent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13" Type="http://schemas.openxmlformats.org/officeDocument/2006/relationships/hyperlink" Target="https://www.legislation.gov.uk/ukpga/2000/11/contents" TargetMode="External"/><Relationship Id="rId18" Type="http://schemas.openxmlformats.org/officeDocument/2006/relationships/hyperlink" Target="https://www.icas.com/regulation-technical-resources/support" TargetMode="External"/><Relationship Id="rId26" Type="http://schemas.openxmlformats.org/officeDocument/2006/relationships/hyperlink" Target="https://www.ccab.org.uk/wp-content/uploads/2021/10/20211005-Defence-against-money-laundering-guidance-for-Insolvency-Practitioners.pdf" TargetMode="External"/><Relationship Id="rId21" Type="http://schemas.openxmlformats.org/officeDocument/2006/relationships/hyperlink" Target="https://www.nationalcrimeagency.gov.uk/who-we-are/publications/650-guidance-on-submitting-better-quality-suspicious-activity-reports-sars-v9-0/file" TargetMode="External"/><Relationship Id="rId34" Type="http://schemas.openxmlformats.org/officeDocument/2006/relationships/header" Target="header1.xml"/><Relationship Id="rId7" Type="http://schemas.openxmlformats.org/officeDocument/2006/relationships/settings" Target="settings.xml"/><Relationship Id="rId12" Type="http://schemas.openxmlformats.org/officeDocument/2006/relationships/hyperlink" Target="https://www.legislation.gov.uk/ukpga/2002/29/contents" TargetMode="External"/><Relationship Id="rId17" Type="http://schemas.openxmlformats.org/officeDocument/2006/relationships/hyperlink" Target="https://icas-com.uksouth01.umbraco.io/media/cc0jt2fa/aml-suspicious-activity-reporting-helpsheet-1.docx" TargetMode="External"/><Relationship Id="rId25" Type="http://schemas.openxmlformats.org/officeDocument/2006/relationships/hyperlink" Target="https://www.nationalcrimeagency.gov.uk/who-we-are/publications/650-guidance-on-submitting-better-quality-suspicious-activity-reports-sars-v9-0/file" TargetMode="External"/><Relationship Id="rId33" Type="http://schemas.openxmlformats.org/officeDocument/2006/relationships/hyperlink" Target="https://www.icas.com/regulation-technical-resources/support" TargetMode="External"/><Relationship Id="rId2" Type="http://schemas.openxmlformats.org/officeDocument/2006/relationships/customXml" Target="../customXml/item2.xml"/><Relationship Id="rId16" Type="http://schemas.openxmlformats.org/officeDocument/2006/relationships/hyperlink" Target="https://www.icas.com/regulation-technical-resources/support" TargetMode="External"/><Relationship Id="rId20" Type="http://schemas.openxmlformats.org/officeDocument/2006/relationships/hyperlink" Target="https://www.nationalcrimeagency.gov.uk/who-we-are/publications/648-glossary-codes-and-reporting-routes-april-2023/file" TargetMode="External"/><Relationship Id="rId29" Type="http://schemas.openxmlformats.org/officeDocument/2006/relationships/hyperlink" Target="https://www.nationalcrimeagency.gov.uk/who-we-are/publications/648-glossary-codes-and-reporting-routes-april-2023/file"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ccab.org.uk/anti-money-laundering-and-counter-terrorist-financing-guidance-for-the-accountancy-sector-2023/" TargetMode="External"/><Relationship Id="rId24" Type="http://schemas.openxmlformats.org/officeDocument/2006/relationships/hyperlink" Target="https://www.ccab.org.uk/wp-content/uploads/2021/10/20211005-Defence-against-money-laundering-guidance-for-Insolvency-Practitioners.pdf" TargetMode="External"/><Relationship Id="rId32" Type="http://schemas.openxmlformats.org/officeDocument/2006/relationships/hyperlink" Target="https://www.legislation.gov.uk/ukpga/2000/11/contents" TargetMode="External"/><Relationship Id="rId37"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s://www.ccab.org.uk/anti-money-laundering-and-counter-terrorist-financing-guidance-for-the-accountancy-sector-2023/" TargetMode="External"/><Relationship Id="rId23" Type="http://schemas.openxmlformats.org/officeDocument/2006/relationships/hyperlink" Target="https://www.nationalcrimeagency.gov.uk/who-we-are/publications/167-defence-against-money-laundering-daml-faq-may-2018/file" TargetMode="External"/><Relationship Id="rId28" Type="http://schemas.openxmlformats.org/officeDocument/2006/relationships/hyperlink" Target="https://www.nationalcrimeagency.gov.uk/who-we-are/publications/650-guidance-on-submitting-better-quality-suspicious-activity-reports-sars-v9-0/file" TargetMode="External"/><Relationship Id="rId36"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https://sarsreporting.nationalcrimeagency.gov.uk/" TargetMode="External"/><Relationship Id="rId31" Type="http://schemas.openxmlformats.org/officeDocument/2006/relationships/hyperlink" Target="https://www.legislation.gov.uk/ukpga/2002/29/contents"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legislation.gov.uk/ukpga/2002/29/contents" TargetMode="External"/><Relationship Id="rId22" Type="http://schemas.openxmlformats.org/officeDocument/2006/relationships/hyperlink" Target="https://www.nationalcrimeagency.gov.uk/who-we-are/publications/717-requesting-a-defence-under-poca-and-tact/file" TargetMode="External"/><Relationship Id="rId27" Type="http://schemas.openxmlformats.org/officeDocument/2006/relationships/hyperlink" Target="https://www.nationalcrimeagency.gov.uk/what-we-do/crime-threats/money-laundering-and-illicit-finance/suspicious-activity-reports" TargetMode="External"/><Relationship Id="rId30" Type="http://schemas.openxmlformats.org/officeDocument/2006/relationships/hyperlink" Target="https://www.nationalcrimeagency.gov.uk/who-we-are/publications/717-requesting-a-defence-under-poca-and-tact/file" TargetMode="External"/><Relationship Id="rId35" Type="http://schemas.openxmlformats.org/officeDocument/2006/relationships/footer" Target="footer1.xml"/><Relationship Id="rId8" Type="http://schemas.openxmlformats.org/officeDocument/2006/relationships/webSettings" Target="webSettings.xml"/><Relationship Id="rId3" Type="http://schemas.openxmlformats.org/officeDocument/2006/relationships/customXml" Target="../customXml/item3.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ICAS">
  <a:themeElements>
    <a:clrScheme name="ICAS">
      <a:dk1>
        <a:srgbClr val="2B3841"/>
      </a:dk1>
      <a:lt1>
        <a:srgbClr val="FFFFFF"/>
      </a:lt1>
      <a:dk2>
        <a:srgbClr val="4D46D9"/>
      </a:dk2>
      <a:lt2>
        <a:srgbClr val="FFFFFF"/>
      </a:lt2>
      <a:accent1>
        <a:srgbClr val="8393A8"/>
      </a:accent1>
      <a:accent2>
        <a:srgbClr val="22B9D5"/>
      </a:accent2>
      <a:accent3>
        <a:srgbClr val="F88D2A"/>
      </a:accent3>
      <a:accent4>
        <a:srgbClr val="555C64"/>
      </a:accent4>
      <a:accent5>
        <a:srgbClr val="4D46D9"/>
      </a:accent5>
      <a:accent6>
        <a:srgbClr val="4D46D9"/>
      </a:accent6>
      <a:hlink>
        <a:srgbClr val="2B3841"/>
      </a:hlink>
      <a:folHlink>
        <a:srgbClr val="2B3841"/>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ICAS_Master" id="{452D8136-E7D2-9E4E-AB4E-031F0DB37ADC}" vid="{35AAC066-4BC9-2948-A53F-DA8E50D9B322}"/>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52d05684-39aa-4c0d-8cff-5e0cc80d847a">
      <UserInfo>
        <DisplayName>Kenneth Oliver</DisplayName>
        <AccountId>51</AccountId>
        <AccountType/>
      </UserInfo>
      <UserInfo>
        <DisplayName>Kate Neilson</DisplayName>
        <AccountId>45</AccountId>
        <AccountType/>
      </UserInfo>
      <UserInfo>
        <DisplayName>Jeremy Clarke</DisplayName>
        <AccountId>16</AccountId>
        <AccountType/>
      </UserInfo>
      <UserInfo>
        <DisplayName>Alasdair Millar</DisplayName>
        <AccountId>22</AccountId>
        <AccountType/>
      </UserInfo>
      <UserInfo>
        <DisplayName>David Menzies</DisplayName>
        <AccountId>9</AccountId>
        <AccountType/>
      </UserInfo>
    </SharedWithUsers>
    <lcf76f155ced4ddcb4097134ff3c332f xmlns="607b35c9-358c-4a12-8b61-a6ae96df6ef5">
      <Terms xmlns="http://schemas.microsoft.com/office/infopath/2007/PartnerControls"/>
    </lcf76f155ced4ddcb4097134ff3c332f>
    <TaxCatchAll xmlns="52d05684-39aa-4c0d-8cff-5e0cc80d847a"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B358CB58330DE6489439988E1A6A5EBB" ma:contentTypeVersion="19" ma:contentTypeDescription="Create a new document." ma:contentTypeScope="" ma:versionID="98335c020876754c55af1fad547de57d">
  <xsd:schema xmlns:xsd="http://www.w3.org/2001/XMLSchema" xmlns:xs="http://www.w3.org/2001/XMLSchema" xmlns:p="http://schemas.microsoft.com/office/2006/metadata/properties" xmlns:ns2="607b35c9-358c-4a12-8b61-a6ae96df6ef5" xmlns:ns3="52d05684-39aa-4c0d-8cff-5e0cc80d847a" targetNamespace="http://schemas.microsoft.com/office/2006/metadata/properties" ma:root="true" ma:fieldsID="c9e17563c2c0cff5311004e397651bca" ns2:_="" ns3:_="">
    <xsd:import namespace="607b35c9-358c-4a12-8b61-a6ae96df6ef5"/>
    <xsd:import namespace="52d05684-39aa-4c0d-8cff-5e0cc80d847a"/>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Location" minOccurs="0"/>
                <xsd:element ref="ns3:SharedWithUsers" minOccurs="0"/>
                <xsd:element ref="ns3:SharedWithDetails" minOccurs="0"/>
                <xsd:element ref="ns2:MediaServiceAutoKeyPoints" minOccurs="0"/>
                <xsd:element ref="ns2:MediaServiceKeyPoints"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07b35c9-358c-4a12-8b61-a6ae96df6ef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Location" ma:index="13"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db26e4d1-0851-40eb-a194-209cd149f606"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2d05684-39aa-4c0d-8cff-5e0cc80d847a"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05f13671-d92f-47df-bb15-d71d68a1a928}" ma:internalName="TaxCatchAll" ma:showField="CatchAllData" ma:web="52d05684-39aa-4c0d-8cff-5e0cc80d847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9C9AA8D-D5B8-403F-AE54-FB405F1E3150}">
  <ds:schemaRefs>
    <ds:schemaRef ds:uri="http://schemas.microsoft.com/office/2006/metadata/properties"/>
    <ds:schemaRef ds:uri="http://schemas.microsoft.com/office/infopath/2007/PartnerControls"/>
    <ds:schemaRef ds:uri="52d05684-39aa-4c0d-8cff-5e0cc80d847a"/>
    <ds:schemaRef ds:uri="607b35c9-358c-4a12-8b61-a6ae96df6ef5"/>
  </ds:schemaRefs>
</ds:datastoreItem>
</file>

<file path=customXml/itemProps2.xml><?xml version="1.0" encoding="utf-8"?>
<ds:datastoreItem xmlns:ds="http://schemas.openxmlformats.org/officeDocument/2006/customXml" ds:itemID="{8F0BFD33-2797-4B53-884E-DA41E44A5E93}">
  <ds:schemaRefs>
    <ds:schemaRef ds:uri="http://schemas.openxmlformats.org/officeDocument/2006/bibliography"/>
  </ds:schemaRefs>
</ds:datastoreItem>
</file>

<file path=customXml/itemProps3.xml><?xml version="1.0" encoding="utf-8"?>
<ds:datastoreItem xmlns:ds="http://schemas.openxmlformats.org/officeDocument/2006/customXml" ds:itemID="{32583CFF-0EBA-4063-A094-BC4509565A4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07b35c9-358c-4a12-8b61-a6ae96df6ef5"/>
    <ds:schemaRef ds:uri="52d05684-39aa-4c0d-8cff-5e0cc80d847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9153BDE-3A59-4CFD-8DF1-5A400FC344C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179</TotalTime>
  <Pages>7</Pages>
  <Words>3889</Words>
  <Characters>20186</Characters>
  <Application>Microsoft Office Word</Application>
  <DocSecurity>0</DocSecurity>
  <Lines>336</Lines>
  <Paragraphs>162</Paragraphs>
  <ScaleCrop>false</ScaleCrop>
  <Company/>
  <LinksUpToDate>false</LinksUpToDate>
  <CharactersWithSpaces>23913</CharactersWithSpaces>
  <SharedDoc>false</SharedDoc>
  <HLinks>
    <vt:vector size="156" baseType="variant">
      <vt:variant>
        <vt:i4>6357117</vt:i4>
      </vt:variant>
      <vt:variant>
        <vt:i4>75</vt:i4>
      </vt:variant>
      <vt:variant>
        <vt:i4>0</vt:i4>
      </vt:variant>
      <vt:variant>
        <vt:i4>5</vt:i4>
      </vt:variant>
      <vt:variant>
        <vt:lpwstr>https://www.icas.com/contact-us/icas-technical-helpdesk</vt:lpwstr>
      </vt:variant>
      <vt:variant>
        <vt:lpwstr/>
      </vt:variant>
      <vt:variant>
        <vt:i4>5439581</vt:i4>
      </vt:variant>
      <vt:variant>
        <vt:i4>72</vt:i4>
      </vt:variant>
      <vt:variant>
        <vt:i4>0</vt:i4>
      </vt:variant>
      <vt:variant>
        <vt:i4>5</vt:i4>
      </vt:variant>
      <vt:variant>
        <vt:lpwstr>https://www.legislation.gov.uk/ukpga/2000/11/contents</vt:lpwstr>
      </vt:variant>
      <vt:variant>
        <vt:lpwstr/>
      </vt:variant>
      <vt:variant>
        <vt:i4>5963868</vt:i4>
      </vt:variant>
      <vt:variant>
        <vt:i4>69</vt:i4>
      </vt:variant>
      <vt:variant>
        <vt:i4>0</vt:i4>
      </vt:variant>
      <vt:variant>
        <vt:i4>5</vt:i4>
      </vt:variant>
      <vt:variant>
        <vt:lpwstr>https://www.legislation.gov.uk/ukpga/2002/29/contents</vt:lpwstr>
      </vt:variant>
      <vt:variant>
        <vt:lpwstr/>
      </vt:variant>
      <vt:variant>
        <vt:i4>6422543</vt:i4>
      </vt:variant>
      <vt:variant>
        <vt:i4>66</vt:i4>
      </vt:variant>
      <vt:variant>
        <vt:i4>0</vt:i4>
      </vt:variant>
      <vt:variant>
        <vt:i4>5</vt:i4>
      </vt:variant>
      <vt:variant>
        <vt:lpwstr>https://www.icas.com/_media/new-pdfs/2021-01-21-AASG-Risk-outlook-Circumstances-of-high-risk.pdf</vt:lpwstr>
      </vt:variant>
      <vt:variant>
        <vt:lpwstr/>
      </vt:variant>
      <vt:variant>
        <vt:i4>1572878</vt:i4>
      </vt:variant>
      <vt:variant>
        <vt:i4>63</vt:i4>
      </vt:variant>
      <vt:variant>
        <vt:i4>0</vt:i4>
      </vt:variant>
      <vt:variant>
        <vt:i4>5</vt:i4>
      </vt:variant>
      <vt:variant>
        <vt:lpwstr>https://www.nationalcrimeagency.gov.uk/who-we-are/publications/717-requesting-a-defence-under-poca-and-tact/file</vt:lpwstr>
      </vt:variant>
      <vt:variant>
        <vt:lpwstr/>
      </vt:variant>
      <vt:variant>
        <vt:i4>7602293</vt:i4>
      </vt:variant>
      <vt:variant>
        <vt:i4>60</vt:i4>
      </vt:variant>
      <vt:variant>
        <vt:i4>0</vt:i4>
      </vt:variant>
      <vt:variant>
        <vt:i4>5</vt:i4>
      </vt:variant>
      <vt:variant>
        <vt:lpwstr>https://www.nationalcrimeagency.gov.uk/who-we-are/publications/648-glossary-codes-and-reporting-routes-april-2023/file</vt:lpwstr>
      </vt:variant>
      <vt:variant>
        <vt:lpwstr/>
      </vt:variant>
      <vt:variant>
        <vt:i4>3670070</vt:i4>
      </vt:variant>
      <vt:variant>
        <vt:i4>57</vt:i4>
      </vt:variant>
      <vt:variant>
        <vt:i4>0</vt:i4>
      </vt:variant>
      <vt:variant>
        <vt:i4>5</vt:i4>
      </vt:variant>
      <vt:variant>
        <vt:lpwstr>https://www.nationalcrimeagency.gov.uk/who-we-are/publications/650-guidance-on-submitting-better-quality-suspicious-activity-reports-sars-v9-0/file</vt:lpwstr>
      </vt:variant>
      <vt:variant>
        <vt:lpwstr/>
      </vt:variant>
      <vt:variant>
        <vt:i4>5832732</vt:i4>
      </vt:variant>
      <vt:variant>
        <vt:i4>54</vt:i4>
      </vt:variant>
      <vt:variant>
        <vt:i4>0</vt:i4>
      </vt:variant>
      <vt:variant>
        <vt:i4>5</vt:i4>
      </vt:variant>
      <vt:variant>
        <vt:lpwstr>https://www.nationalcrimeagency.gov.uk/what-we-do/crime-threats/money-laundering-and-illicit-finance/suspicious-activity-reports</vt:lpwstr>
      </vt:variant>
      <vt:variant>
        <vt:lpwstr/>
      </vt:variant>
      <vt:variant>
        <vt:i4>4522108</vt:i4>
      </vt:variant>
      <vt:variant>
        <vt:i4>51</vt:i4>
      </vt:variant>
      <vt:variant>
        <vt:i4>0</vt:i4>
      </vt:variant>
      <vt:variant>
        <vt:i4>5</vt:i4>
      </vt:variant>
      <vt:variant>
        <vt:lpwstr>https://www.icas.com/__data/assets/pdf_file/0007/584593/20211005-Defence-against-money-laundering-guidance-for-Insolvency-Practitioners.pdf</vt:lpwstr>
      </vt:variant>
      <vt:variant>
        <vt:lpwstr/>
      </vt:variant>
      <vt:variant>
        <vt:i4>6881313</vt:i4>
      </vt:variant>
      <vt:variant>
        <vt:i4>48</vt:i4>
      </vt:variant>
      <vt:variant>
        <vt:i4>0</vt:i4>
      </vt:variant>
      <vt:variant>
        <vt:i4>5</vt:i4>
      </vt:variant>
      <vt:variant>
        <vt:lpwstr>https://www.ccab.org.uk/anti-money-laundering-and-counter-terrorist-financing-guidance-for-the-accountancy-sector-2023/</vt:lpwstr>
      </vt:variant>
      <vt:variant>
        <vt:lpwstr/>
      </vt:variant>
      <vt:variant>
        <vt:i4>8192111</vt:i4>
      </vt:variant>
      <vt:variant>
        <vt:i4>45</vt:i4>
      </vt:variant>
      <vt:variant>
        <vt:i4>0</vt:i4>
      </vt:variant>
      <vt:variant>
        <vt:i4>5</vt:i4>
      </vt:variant>
      <vt:variant>
        <vt:lpwstr>https://www.icas.com/professional-resources/practice/knowledge-centre/general-practice-manual/Specimen-Document-Internal-Suspicious-Activity-Reporting.docx</vt:lpwstr>
      </vt:variant>
      <vt:variant>
        <vt:lpwstr/>
      </vt:variant>
      <vt:variant>
        <vt:i4>3670070</vt:i4>
      </vt:variant>
      <vt:variant>
        <vt:i4>42</vt:i4>
      </vt:variant>
      <vt:variant>
        <vt:i4>0</vt:i4>
      </vt:variant>
      <vt:variant>
        <vt:i4>5</vt:i4>
      </vt:variant>
      <vt:variant>
        <vt:lpwstr>https://www.nationalcrimeagency.gov.uk/who-we-are/publications/650-guidance-on-submitting-better-quality-suspicious-activity-reports-sars-v9-0/file</vt:lpwstr>
      </vt:variant>
      <vt:variant>
        <vt:lpwstr/>
      </vt:variant>
      <vt:variant>
        <vt:i4>4522108</vt:i4>
      </vt:variant>
      <vt:variant>
        <vt:i4>39</vt:i4>
      </vt:variant>
      <vt:variant>
        <vt:i4>0</vt:i4>
      </vt:variant>
      <vt:variant>
        <vt:i4>5</vt:i4>
      </vt:variant>
      <vt:variant>
        <vt:lpwstr>https://www.icas.com/__data/assets/pdf_file/0007/584593/20211005-Defence-against-money-laundering-guidance-for-Insolvency-Practitioners.pdf</vt:lpwstr>
      </vt:variant>
      <vt:variant>
        <vt:lpwstr/>
      </vt:variant>
      <vt:variant>
        <vt:i4>4063350</vt:i4>
      </vt:variant>
      <vt:variant>
        <vt:i4>36</vt:i4>
      </vt:variant>
      <vt:variant>
        <vt:i4>0</vt:i4>
      </vt:variant>
      <vt:variant>
        <vt:i4>5</vt:i4>
      </vt:variant>
      <vt:variant>
        <vt:lpwstr>https://www.nationalcrimeagency.gov.uk/who-we-are/publications/167-defence-against-money-laundering-daml-faq-may-2018/file</vt:lpwstr>
      </vt:variant>
      <vt:variant>
        <vt:lpwstr/>
      </vt:variant>
      <vt:variant>
        <vt:i4>1572878</vt:i4>
      </vt:variant>
      <vt:variant>
        <vt:i4>33</vt:i4>
      </vt:variant>
      <vt:variant>
        <vt:i4>0</vt:i4>
      </vt:variant>
      <vt:variant>
        <vt:i4>5</vt:i4>
      </vt:variant>
      <vt:variant>
        <vt:lpwstr>https://www.nationalcrimeagency.gov.uk/who-we-are/publications/717-requesting-a-defence-under-poca-and-tact/file</vt:lpwstr>
      </vt:variant>
      <vt:variant>
        <vt:lpwstr/>
      </vt:variant>
      <vt:variant>
        <vt:i4>3670070</vt:i4>
      </vt:variant>
      <vt:variant>
        <vt:i4>30</vt:i4>
      </vt:variant>
      <vt:variant>
        <vt:i4>0</vt:i4>
      </vt:variant>
      <vt:variant>
        <vt:i4>5</vt:i4>
      </vt:variant>
      <vt:variant>
        <vt:lpwstr>https://www.nationalcrimeagency.gov.uk/who-we-are/publications/650-guidance-on-submitting-better-quality-suspicious-activity-reports-sars-v9-0/file</vt:lpwstr>
      </vt:variant>
      <vt:variant>
        <vt:lpwstr/>
      </vt:variant>
      <vt:variant>
        <vt:i4>7602293</vt:i4>
      </vt:variant>
      <vt:variant>
        <vt:i4>27</vt:i4>
      </vt:variant>
      <vt:variant>
        <vt:i4>0</vt:i4>
      </vt:variant>
      <vt:variant>
        <vt:i4>5</vt:i4>
      </vt:variant>
      <vt:variant>
        <vt:lpwstr>https://www.nationalcrimeagency.gov.uk/who-we-are/publications/648-glossary-codes-and-reporting-routes-april-2023/file</vt:lpwstr>
      </vt:variant>
      <vt:variant>
        <vt:lpwstr/>
      </vt:variant>
      <vt:variant>
        <vt:i4>4915280</vt:i4>
      </vt:variant>
      <vt:variant>
        <vt:i4>24</vt:i4>
      </vt:variant>
      <vt:variant>
        <vt:i4>0</vt:i4>
      </vt:variant>
      <vt:variant>
        <vt:i4>5</vt:i4>
      </vt:variant>
      <vt:variant>
        <vt:lpwstr>https://sarsreporting.nationalcrimeagency.gov.uk/</vt:lpwstr>
      </vt:variant>
      <vt:variant>
        <vt:lpwstr/>
      </vt:variant>
      <vt:variant>
        <vt:i4>6357117</vt:i4>
      </vt:variant>
      <vt:variant>
        <vt:i4>21</vt:i4>
      </vt:variant>
      <vt:variant>
        <vt:i4>0</vt:i4>
      </vt:variant>
      <vt:variant>
        <vt:i4>5</vt:i4>
      </vt:variant>
      <vt:variant>
        <vt:lpwstr>https://www.icas.com/contact-us/icas-technical-helpdesk</vt:lpwstr>
      </vt:variant>
      <vt:variant>
        <vt:lpwstr/>
      </vt:variant>
      <vt:variant>
        <vt:i4>8192111</vt:i4>
      </vt:variant>
      <vt:variant>
        <vt:i4>18</vt:i4>
      </vt:variant>
      <vt:variant>
        <vt:i4>0</vt:i4>
      </vt:variant>
      <vt:variant>
        <vt:i4>5</vt:i4>
      </vt:variant>
      <vt:variant>
        <vt:lpwstr>https://www.icas.com/professional-resources/practice/knowledge-centre/general-practice-manual/Specimen-Document-Internal-Suspicious-Activity-Reporting.docx</vt:lpwstr>
      </vt:variant>
      <vt:variant>
        <vt:lpwstr/>
      </vt:variant>
      <vt:variant>
        <vt:i4>6357117</vt:i4>
      </vt:variant>
      <vt:variant>
        <vt:i4>15</vt:i4>
      </vt:variant>
      <vt:variant>
        <vt:i4>0</vt:i4>
      </vt:variant>
      <vt:variant>
        <vt:i4>5</vt:i4>
      </vt:variant>
      <vt:variant>
        <vt:lpwstr>https://www.icas.com/contact-us/icas-technical-helpdesk</vt:lpwstr>
      </vt:variant>
      <vt:variant>
        <vt:lpwstr/>
      </vt:variant>
      <vt:variant>
        <vt:i4>6881313</vt:i4>
      </vt:variant>
      <vt:variant>
        <vt:i4>12</vt:i4>
      </vt:variant>
      <vt:variant>
        <vt:i4>0</vt:i4>
      </vt:variant>
      <vt:variant>
        <vt:i4>5</vt:i4>
      </vt:variant>
      <vt:variant>
        <vt:lpwstr>https://www.ccab.org.uk/anti-money-laundering-and-counter-terrorist-financing-guidance-for-the-accountancy-sector-2023/</vt:lpwstr>
      </vt:variant>
      <vt:variant>
        <vt:lpwstr/>
      </vt:variant>
      <vt:variant>
        <vt:i4>5963868</vt:i4>
      </vt:variant>
      <vt:variant>
        <vt:i4>9</vt:i4>
      </vt:variant>
      <vt:variant>
        <vt:i4>0</vt:i4>
      </vt:variant>
      <vt:variant>
        <vt:i4>5</vt:i4>
      </vt:variant>
      <vt:variant>
        <vt:lpwstr>https://www.legislation.gov.uk/ukpga/2002/29/contents</vt:lpwstr>
      </vt:variant>
      <vt:variant>
        <vt:lpwstr/>
      </vt:variant>
      <vt:variant>
        <vt:i4>5439581</vt:i4>
      </vt:variant>
      <vt:variant>
        <vt:i4>6</vt:i4>
      </vt:variant>
      <vt:variant>
        <vt:i4>0</vt:i4>
      </vt:variant>
      <vt:variant>
        <vt:i4>5</vt:i4>
      </vt:variant>
      <vt:variant>
        <vt:lpwstr>https://www.legislation.gov.uk/ukpga/2000/11/contents</vt:lpwstr>
      </vt:variant>
      <vt:variant>
        <vt:lpwstr/>
      </vt:variant>
      <vt:variant>
        <vt:i4>5963868</vt:i4>
      </vt:variant>
      <vt:variant>
        <vt:i4>3</vt:i4>
      </vt:variant>
      <vt:variant>
        <vt:i4>0</vt:i4>
      </vt:variant>
      <vt:variant>
        <vt:i4>5</vt:i4>
      </vt:variant>
      <vt:variant>
        <vt:lpwstr>https://www.legislation.gov.uk/ukpga/2002/29/contents</vt:lpwstr>
      </vt:variant>
      <vt:variant>
        <vt:lpwstr/>
      </vt:variant>
      <vt:variant>
        <vt:i4>6881313</vt:i4>
      </vt:variant>
      <vt:variant>
        <vt:i4>0</vt:i4>
      </vt:variant>
      <vt:variant>
        <vt:i4>0</vt:i4>
      </vt:variant>
      <vt:variant>
        <vt:i4>5</vt:i4>
      </vt:variant>
      <vt:variant>
        <vt:lpwstr>https://www.ccab.org.uk/anti-money-laundering-and-counter-terrorist-financing-guidance-for-the-accountancy-sector-2023/</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Sharon Byrne</dc:creator>
  <cp:keywords/>
  <cp:lastModifiedBy>David Menzies</cp:lastModifiedBy>
  <cp:revision>101</cp:revision>
  <dcterms:created xsi:type="dcterms:W3CDTF">2023-10-11T10:11:00Z</dcterms:created>
  <dcterms:modified xsi:type="dcterms:W3CDTF">2025-10-08T10:21:00Z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2020-07-14T00:00:00Z</vt:filetime>
  </property>
  <property fmtid="{D5CDD505-2E9C-101B-9397-08002B2CF9AE}" pid="3" name="Creator">
    <vt:lpwstr>Microsoft® Word for Office 365</vt:lpwstr>
  </property>
  <property fmtid="{D5CDD505-2E9C-101B-9397-08002B2CF9AE}" pid="4" name="LastSaved">
    <vt:filetime>2020-08-05T00:00:00Z</vt:filetime>
  </property>
  <property fmtid="{D5CDD505-2E9C-101B-9397-08002B2CF9AE}" pid="5" name="ContentTypeId">
    <vt:lpwstr>0x010100B358CB58330DE6489439988E1A6A5EBB</vt:lpwstr>
  </property>
  <property fmtid="{D5CDD505-2E9C-101B-9397-08002B2CF9AE}" pid="6" name="MediaServiceImageTags">
    <vt:lpwstr/>
  </property>
  <property fmtid="{D5CDD505-2E9C-101B-9397-08002B2CF9AE}" pid="7" name="docLang">
    <vt:lpwstr>en</vt:lpwstr>
  </property>
</Properties>
</file>