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E98B" w14:textId="109C2B43" w:rsidR="00497684" w:rsidRPr="00BC099F" w:rsidRDefault="007D4DB7" w:rsidP="00505B60">
      <w:pPr>
        <w:pStyle w:val="Heading1"/>
      </w:pPr>
      <w:proofErr w:type="spellStart"/>
      <w:r w:rsidRPr="00BC099F">
        <w:t>Helpsheet</w:t>
      </w:r>
      <w:proofErr w:type="spellEnd"/>
      <w:r w:rsidR="00E86477" w:rsidRPr="00BC099F">
        <w:t xml:space="preserve">: </w:t>
      </w:r>
      <w:r w:rsidR="003156F2" w:rsidRPr="00BC099F">
        <w:t>Document</w:t>
      </w:r>
      <w:r w:rsidR="00A84EC1" w:rsidRPr="00BC099F">
        <w:t>s</w:t>
      </w:r>
      <w:r w:rsidR="003156F2" w:rsidRPr="00BC099F">
        <w:t xml:space="preserve"> and file</w:t>
      </w:r>
      <w:r w:rsidR="00DC5F96" w:rsidRPr="00BC099F">
        <w:t>s – ownership and retention</w:t>
      </w:r>
    </w:p>
    <w:p w14:paraId="03855EB1" w14:textId="70FBD33E" w:rsidR="00497684" w:rsidRPr="00BC099F" w:rsidRDefault="00497684" w:rsidP="00505B60">
      <w:pPr>
        <w:pStyle w:val="ICASBoxOutBody"/>
      </w:pPr>
      <w:r w:rsidRPr="00BC099F">
        <w:rPr>
          <w:b/>
        </w:rPr>
        <w:t>Issued</w:t>
      </w:r>
      <w:r w:rsidR="00DD2889" w:rsidRPr="00BC099F">
        <w:rPr>
          <w:b/>
        </w:rPr>
        <w:t>:</w:t>
      </w:r>
      <w:r w:rsidRPr="00BC099F">
        <w:t xml:space="preserve"> </w:t>
      </w:r>
      <w:r w:rsidR="004D42E8">
        <w:t xml:space="preserve">September </w:t>
      </w:r>
      <w:r w:rsidR="00E9567A">
        <w:t>2021</w:t>
      </w:r>
    </w:p>
    <w:p w14:paraId="57865399" w14:textId="5A3D7939" w:rsidR="003F692B" w:rsidRPr="00BC099F" w:rsidRDefault="003F692B" w:rsidP="00505B60">
      <w:pPr>
        <w:pStyle w:val="ICASBoxOutBody"/>
      </w:pPr>
      <w:r w:rsidRPr="00BC099F">
        <w:rPr>
          <w:b/>
        </w:rPr>
        <w:t>Last issued</w:t>
      </w:r>
      <w:r w:rsidR="00DD2889" w:rsidRPr="00BC099F">
        <w:rPr>
          <w:b/>
        </w:rPr>
        <w:t>:</w:t>
      </w:r>
      <w:r w:rsidRPr="00BC099F">
        <w:t xml:space="preserve"> </w:t>
      </w:r>
      <w:r w:rsidR="00E413E7">
        <w:t>July 2024</w:t>
      </w:r>
    </w:p>
    <w:p w14:paraId="2827816E" w14:textId="0A8FBE0E" w:rsidR="00497684" w:rsidRPr="00BC099F" w:rsidRDefault="00497684" w:rsidP="00505B60">
      <w:pPr>
        <w:pStyle w:val="ICASBoxOutBody"/>
        <w:rPr>
          <w:b/>
          <w:sz w:val="24"/>
        </w:rPr>
      </w:pPr>
      <w:r w:rsidRPr="00BC099F">
        <w:rPr>
          <w:b/>
        </w:rPr>
        <w:t>Last reviewed</w:t>
      </w:r>
      <w:r w:rsidR="00DD2889" w:rsidRPr="00BC099F">
        <w:rPr>
          <w:b/>
        </w:rPr>
        <w:t>:</w:t>
      </w:r>
      <w:r w:rsidRPr="00BC099F">
        <w:t xml:space="preserve"> </w:t>
      </w:r>
      <w:r w:rsidR="00E413E7">
        <w:t>July 2024</w:t>
      </w:r>
    </w:p>
    <w:p w14:paraId="441B1DD2" w14:textId="77777777" w:rsidR="00033FD4" w:rsidRPr="00BC099F" w:rsidRDefault="00033FD4" w:rsidP="00ED6A1D">
      <w:pPr>
        <w:pStyle w:val="BodyText"/>
        <w:spacing w:before="9"/>
        <w:contextualSpacing/>
        <w:rPr>
          <w:b/>
          <w:sz w:val="15"/>
        </w:rPr>
      </w:pPr>
    </w:p>
    <w:p w14:paraId="5F53CE8A" w14:textId="23DC0BC7" w:rsidR="00033FD4" w:rsidRPr="00BF2C64" w:rsidRDefault="003F692B" w:rsidP="001B60A9">
      <w:pPr>
        <w:pStyle w:val="Heading2"/>
      </w:pPr>
      <w:r w:rsidRPr="00BF2C64">
        <w:t>Introduction</w:t>
      </w:r>
    </w:p>
    <w:p w14:paraId="669EF512" w14:textId="33B5A6F1" w:rsidR="006B475F" w:rsidRPr="00BC099F" w:rsidRDefault="003156F2" w:rsidP="00505B60">
      <w:pPr>
        <w:pStyle w:val="ICASBody"/>
      </w:pPr>
      <w:r w:rsidRPr="00BC099F">
        <w:t xml:space="preserve">The approach to the retention of </w:t>
      </w:r>
      <w:r w:rsidR="00200EBC" w:rsidRPr="00BC099F">
        <w:t xml:space="preserve">documents and files </w:t>
      </w:r>
      <w:r w:rsidR="006C4817" w:rsidRPr="00BC099F">
        <w:t>(</w:t>
      </w:r>
      <w:r w:rsidR="00312F4A" w:rsidRPr="00BC099F">
        <w:t xml:space="preserve">referred </w:t>
      </w:r>
      <w:r w:rsidR="006C4817" w:rsidRPr="00BC099F">
        <w:t xml:space="preserve">collectively </w:t>
      </w:r>
      <w:r w:rsidR="00312F4A" w:rsidRPr="00BC099F">
        <w:t xml:space="preserve">as </w:t>
      </w:r>
      <w:r w:rsidR="006C4817" w:rsidRPr="00BC099F">
        <w:t xml:space="preserve">records) </w:t>
      </w:r>
      <w:r w:rsidRPr="00BC099F">
        <w:t xml:space="preserve">is </w:t>
      </w:r>
      <w:r w:rsidR="00200EBC" w:rsidRPr="00BC099F">
        <w:t>an area which</w:t>
      </w:r>
      <w:r w:rsidR="004C3273" w:rsidRPr="00BC099F">
        <w:t xml:space="preserve"> </w:t>
      </w:r>
      <w:r w:rsidR="00410450" w:rsidRPr="00BC099F">
        <w:t xml:space="preserve">often causes significant questions for a firm. </w:t>
      </w:r>
      <w:r w:rsidR="00D41936" w:rsidRPr="00BC099F">
        <w:t>Despite what might at first seem to be a relatively straightforward topic</w:t>
      </w:r>
      <w:r w:rsidR="00D50C71">
        <w:t xml:space="preserve"> for a practice</w:t>
      </w:r>
      <w:r w:rsidR="00D41936" w:rsidRPr="00BC099F">
        <w:t>, it is in fact one of the most complex</w:t>
      </w:r>
      <w:r w:rsidR="00D50C71">
        <w:t>.</w:t>
      </w:r>
    </w:p>
    <w:p w14:paraId="51902546" w14:textId="5A5D6D73" w:rsidR="00721B63" w:rsidRPr="00BC099F" w:rsidRDefault="00721B63" w:rsidP="00505B60">
      <w:pPr>
        <w:pStyle w:val="ICASBody"/>
      </w:pPr>
      <w:r w:rsidRPr="00BC099F">
        <w:t>The topic requires careful consideration of the interaction</w:t>
      </w:r>
      <w:r w:rsidR="000A6B60" w:rsidRPr="00BC099F">
        <w:t xml:space="preserve"> between several factors including legal jurisdiction</w:t>
      </w:r>
      <w:r w:rsidR="00223989" w:rsidRPr="00BC099F">
        <w:t>, legal ownership, contract law, professional indemnity insurance conditions, tax legislation</w:t>
      </w:r>
      <w:r w:rsidR="007D7B4B" w:rsidRPr="00BC099F">
        <w:t xml:space="preserve"> and data protection legislation amongst others.</w:t>
      </w:r>
    </w:p>
    <w:p w14:paraId="32B0E683" w14:textId="652ABDAE" w:rsidR="001B4D19" w:rsidRPr="00BC099F" w:rsidRDefault="001B4D19" w:rsidP="00505B60">
      <w:pPr>
        <w:pStyle w:val="ICASBody"/>
      </w:pPr>
      <w:r w:rsidRPr="00BC099F">
        <w:t>Due to the complexity of factors that can come into play</w:t>
      </w:r>
      <w:r w:rsidR="00BF2C64">
        <w:t>,</w:t>
      </w:r>
      <w:r w:rsidRPr="00BC099F">
        <w:t xml:space="preserve"> </w:t>
      </w:r>
      <w:r w:rsidR="004F6EC0">
        <w:t xml:space="preserve">the aim of this </w:t>
      </w:r>
      <w:proofErr w:type="spellStart"/>
      <w:r w:rsidR="004F6EC0">
        <w:t>helpsheet</w:t>
      </w:r>
      <w:proofErr w:type="spellEnd"/>
      <w:r w:rsidR="004F6EC0">
        <w:t xml:space="preserve"> is to </w:t>
      </w:r>
      <w:r w:rsidR="00640F8D">
        <w:t>introduce</w:t>
      </w:r>
      <w:r w:rsidR="004F6EC0">
        <w:t xml:space="preserve"> th</w:t>
      </w:r>
      <w:r w:rsidR="00640F8D">
        <w:t>e</w:t>
      </w:r>
      <w:r w:rsidR="004F6EC0">
        <w:t xml:space="preserve"> issue, with high-level guidance. I</w:t>
      </w:r>
      <w:r w:rsidRPr="00BC099F">
        <w:t xml:space="preserve">t is strongly recommended that </w:t>
      </w:r>
      <w:r w:rsidR="004F6EC0">
        <w:t xml:space="preserve">legal advice should be sought </w:t>
      </w:r>
      <w:r w:rsidRPr="00BC099F">
        <w:t xml:space="preserve">if there is any doubt over the application of information in this </w:t>
      </w:r>
      <w:proofErr w:type="spellStart"/>
      <w:r w:rsidRPr="00BC099F">
        <w:t>helpsheet</w:t>
      </w:r>
      <w:proofErr w:type="spellEnd"/>
      <w:r w:rsidRPr="00BC099F">
        <w:t>.</w:t>
      </w:r>
    </w:p>
    <w:p w14:paraId="26758756" w14:textId="6E6D08A8" w:rsidR="006B475F" w:rsidRPr="00BC099F" w:rsidRDefault="006B475F" w:rsidP="001B60A9">
      <w:pPr>
        <w:pStyle w:val="Heading2"/>
      </w:pPr>
      <w:r w:rsidRPr="00BC099F">
        <w:t>G</w:t>
      </w:r>
      <w:r w:rsidR="00BD51AB" w:rsidRPr="00BC099F">
        <w:t>eneral comments</w:t>
      </w:r>
    </w:p>
    <w:p w14:paraId="264E6740" w14:textId="301A3472" w:rsidR="002A6FBF" w:rsidRPr="00BC099F" w:rsidRDefault="002A6FBF" w:rsidP="001B60A9">
      <w:pPr>
        <w:pStyle w:val="ICASBody"/>
      </w:pPr>
      <w:r w:rsidRPr="00BC099F">
        <w:t>It should be remembered that</w:t>
      </w:r>
      <w:r w:rsidR="00BF2C64">
        <w:t>,</w:t>
      </w:r>
      <w:r w:rsidRPr="00BC099F">
        <w:t xml:space="preserve"> depending on the nature and location of the firm’s practice and each assignment, the laws of several jurisdictions could be applicable to its work.</w:t>
      </w:r>
      <w:r w:rsidR="00023760">
        <w:t xml:space="preserve"> For example, a firm may be based in Scotland, engaged to prepare UK tax returns for a company with a registered office in Switzerland. It should not be assumed that the same retention provisions apply to all </w:t>
      </w:r>
      <w:r w:rsidR="00AD36DC">
        <w:t xml:space="preserve">of </w:t>
      </w:r>
      <w:r w:rsidR="00023760">
        <w:t xml:space="preserve">your clients. </w:t>
      </w:r>
    </w:p>
    <w:p w14:paraId="6BE90170" w14:textId="16C4AE50" w:rsidR="00A72B84" w:rsidRPr="00BC099F" w:rsidRDefault="00AD36DC" w:rsidP="001B60A9">
      <w:pPr>
        <w:pStyle w:val="ICASBody"/>
      </w:pPr>
      <w:r>
        <w:t>It is worth noting that s</w:t>
      </w:r>
      <w:r w:rsidR="00A72B84" w:rsidRPr="00BC099F">
        <w:t xml:space="preserve">ome professional indemnity insurers include a retention clause </w:t>
      </w:r>
      <w:r w:rsidR="00BF2C64">
        <w:t>i</w:t>
      </w:r>
      <w:r w:rsidR="00BF2C64" w:rsidRPr="00BC099F">
        <w:t xml:space="preserve">n </w:t>
      </w:r>
      <w:r w:rsidR="00A72B84" w:rsidRPr="00BC099F">
        <w:t>the policy and failure to observe this may invalidate your cover.</w:t>
      </w:r>
    </w:p>
    <w:p w14:paraId="3D291605" w14:textId="372E28DA" w:rsidR="00023760" w:rsidRDefault="00023760" w:rsidP="001B60A9">
      <w:pPr>
        <w:pStyle w:val="ICASBody"/>
      </w:pPr>
      <w:r>
        <w:t xml:space="preserve">Whilst, as set out below, there are some general rules regarding ownership </w:t>
      </w:r>
      <w:r w:rsidR="00363D39">
        <w:t xml:space="preserve">and retention </w:t>
      </w:r>
      <w:r>
        <w:t xml:space="preserve">of records, </w:t>
      </w:r>
      <w:r w:rsidR="00116FC5">
        <w:t xml:space="preserve">these </w:t>
      </w:r>
      <w:r w:rsidR="00905824">
        <w:t>may be</w:t>
      </w:r>
      <w:r>
        <w:t xml:space="preserve"> subject to the agreement of the parties. </w:t>
      </w:r>
      <w:r w:rsidR="00F27642">
        <w:t xml:space="preserve">It is recommended that </w:t>
      </w:r>
      <w:r w:rsidR="00BF05FC">
        <w:t xml:space="preserve">provisions relating to </w:t>
      </w:r>
      <w:r w:rsidR="00B74EC5">
        <w:t xml:space="preserve">ownership and retention of records </w:t>
      </w:r>
      <w:r w:rsidR="003A1C17">
        <w:t xml:space="preserve">are included within </w:t>
      </w:r>
      <w:r>
        <w:t>engagement</w:t>
      </w:r>
      <w:r w:rsidR="003A1C17">
        <w:t xml:space="preserve"> terms</w:t>
      </w:r>
      <w:r w:rsidR="00745D73">
        <w:t xml:space="preserve"> between the firm and client</w:t>
      </w:r>
      <w:r>
        <w:t>.</w:t>
      </w:r>
      <w:r w:rsidR="00A005DA">
        <w:t xml:space="preserve"> The ICAS </w:t>
      </w:r>
      <w:r w:rsidR="0050674C">
        <w:t xml:space="preserve">Engagement letters </w:t>
      </w:r>
      <w:proofErr w:type="spellStart"/>
      <w:r w:rsidR="0050674C">
        <w:t>Helpsheet</w:t>
      </w:r>
      <w:proofErr w:type="spellEnd"/>
      <w:r w:rsidR="0050674C">
        <w:t xml:space="preserve"> contains specimen documents including</w:t>
      </w:r>
      <w:r w:rsidR="007F0B05">
        <w:t xml:space="preserve"> a terms and conditions schedule (Part 3) which provides example wording</w:t>
      </w:r>
      <w:r w:rsidR="00F43BF6">
        <w:t>.</w:t>
      </w:r>
      <w:r>
        <w:t xml:space="preserve"> Clearly, whatever has been agreed with a client should be respected in practice. </w:t>
      </w:r>
    </w:p>
    <w:p w14:paraId="13E4E3A5" w14:textId="11AE6B2C" w:rsidR="00A84EC1" w:rsidRPr="00BC099F" w:rsidRDefault="00A84EC1" w:rsidP="001B60A9">
      <w:pPr>
        <w:pStyle w:val="Heading2"/>
      </w:pPr>
      <w:r w:rsidRPr="00BC099F">
        <w:t>Owne</w:t>
      </w:r>
      <w:r w:rsidR="00D52C1B">
        <w:t>r</w:t>
      </w:r>
      <w:r w:rsidRPr="00BC099F">
        <w:t>ship</w:t>
      </w:r>
      <w:r w:rsidR="00A54F93" w:rsidRPr="00BC099F">
        <w:t xml:space="preserve"> of records</w:t>
      </w:r>
    </w:p>
    <w:p w14:paraId="689997FC" w14:textId="2F68A053" w:rsidR="0071081A" w:rsidRPr="00BC099F" w:rsidRDefault="0071081A" w:rsidP="001B60A9">
      <w:pPr>
        <w:pStyle w:val="ICASBody"/>
      </w:pPr>
      <w:r w:rsidRPr="00BC099F">
        <w:t xml:space="preserve">Ownership of records </w:t>
      </w:r>
      <w:r w:rsidR="00E35D5B" w:rsidRPr="00BC099F">
        <w:t xml:space="preserve">will depend on </w:t>
      </w:r>
      <w:r w:rsidR="007F7699" w:rsidRPr="00BC099F">
        <w:t>several</w:t>
      </w:r>
      <w:r w:rsidR="00E35D5B" w:rsidRPr="00BC099F">
        <w:t xml:space="preserve"> factors.</w:t>
      </w:r>
      <w:r w:rsidR="00567782">
        <w:t xml:space="preserve"> </w:t>
      </w:r>
      <w:r w:rsidR="00567782" w:rsidRPr="00BC099F">
        <w:t>A distinction must be drawn between documents that are prepared for the client and those that are prepared by the firm for their own use.</w:t>
      </w:r>
      <w:r w:rsidR="00E35D5B" w:rsidRPr="00BC099F">
        <w:t xml:space="preserve"> </w:t>
      </w:r>
      <w:r w:rsidR="00D350D6">
        <w:t xml:space="preserve">It will also </w:t>
      </w:r>
      <w:r w:rsidR="00E35D5B" w:rsidRPr="00BC099F">
        <w:t>include the relationship capacity in which work is being carried out</w:t>
      </w:r>
      <w:r w:rsidR="00023760">
        <w:t>, as well as what</w:t>
      </w:r>
      <w:r w:rsidR="00023D06">
        <w:t>, if anything,</w:t>
      </w:r>
      <w:r w:rsidR="00023760">
        <w:t xml:space="preserve"> has been agreed in writing between the parties</w:t>
      </w:r>
      <w:r w:rsidR="00EC366C" w:rsidRPr="00BC099F">
        <w:t xml:space="preserve">. </w:t>
      </w:r>
    </w:p>
    <w:p w14:paraId="0999A37B" w14:textId="0D0A8B95" w:rsidR="003156F2" w:rsidRPr="00BC099F" w:rsidRDefault="003156F2" w:rsidP="00597EF3">
      <w:pPr>
        <w:pStyle w:val="ICASBody"/>
        <w:spacing w:after="120"/>
      </w:pPr>
      <w:r w:rsidRPr="00BC099F">
        <w:t>The general rules are:</w:t>
      </w:r>
    </w:p>
    <w:p w14:paraId="2A3AD67D" w14:textId="0F5C4844" w:rsidR="003156F2" w:rsidRPr="00DB4633" w:rsidRDefault="003156F2" w:rsidP="00E01CA4">
      <w:pPr>
        <w:pStyle w:val="Title"/>
      </w:pPr>
      <w:r w:rsidRPr="00DB4633">
        <w:t xml:space="preserve">if acting as a principal when creating the document, the document belongs to </w:t>
      </w:r>
      <w:r w:rsidR="003E4E68" w:rsidRPr="00DB4633">
        <w:t>you.</w:t>
      </w:r>
    </w:p>
    <w:p w14:paraId="265BE8BF" w14:textId="53C51268" w:rsidR="00110C3C" w:rsidRPr="00DB4633" w:rsidRDefault="003156F2" w:rsidP="00E01CA4">
      <w:pPr>
        <w:pStyle w:val="Title"/>
      </w:pPr>
      <w:r w:rsidRPr="00DB4633">
        <w:t xml:space="preserve">if acting as an agent, the document belongs to the </w:t>
      </w:r>
      <w:r w:rsidR="00171AC4" w:rsidRPr="00DB4633">
        <w:t>client.</w:t>
      </w:r>
    </w:p>
    <w:p w14:paraId="4950735C" w14:textId="7023F93A" w:rsidR="00110C3C" w:rsidRPr="00BC099F" w:rsidRDefault="00110C3C" w:rsidP="00597EF3">
      <w:pPr>
        <w:pStyle w:val="ICASBody"/>
        <w:spacing w:before="240"/>
      </w:pPr>
      <w:r w:rsidRPr="4EF2B041">
        <w:t xml:space="preserve">To provide further guidance, </w:t>
      </w:r>
      <w:hyperlink w:anchor="Appendix1" w:history="1">
        <w:r w:rsidR="00DB4633" w:rsidRPr="005F2482">
          <w:rPr>
            <w:rStyle w:val="Hyperlink"/>
          </w:rPr>
          <w:t>Appendix 1</w:t>
        </w:r>
      </w:hyperlink>
      <w:r w:rsidRPr="4EF2B041">
        <w:t xml:space="preserve"> provides examples of typical scenarios encountered by firm</w:t>
      </w:r>
      <w:r>
        <w:t>s</w:t>
      </w:r>
      <w:r w:rsidRPr="4EF2B041">
        <w:t xml:space="preserve"> </w:t>
      </w:r>
      <w:r w:rsidR="009C294E">
        <w:t>regarding file ownership.</w:t>
      </w:r>
    </w:p>
    <w:p w14:paraId="430E4127" w14:textId="77777777" w:rsidR="00F9025E" w:rsidRDefault="00F9025E">
      <w:pPr>
        <w:widowControl w:val="0"/>
        <w:autoSpaceDE w:val="0"/>
        <w:autoSpaceDN w:val="0"/>
        <w:rPr>
          <w:rFonts w:ascii="Arial" w:hAnsi="Arial" w:cs="Arial"/>
          <w:b/>
          <w:bCs/>
          <w:color w:val="000000"/>
          <w:sz w:val="28"/>
          <w:szCs w:val="28"/>
        </w:rPr>
      </w:pPr>
      <w:r>
        <w:br w:type="page"/>
      </w:r>
    </w:p>
    <w:p w14:paraId="4E6325B7" w14:textId="35B38551" w:rsidR="00F605A9" w:rsidRPr="00BC099F" w:rsidRDefault="00F605A9" w:rsidP="005F2482">
      <w:pPr>
        <w:pStyle w:val="Heading2"/>
      </w:pPr>
      <w:r w:rsidRPr="10C7597A">
        <w:lastRenderedPageBreak/>
        <w:t>Archiving</w:t>
      </w:r>
    </w:p>
    <w:p w14:paraId="4CAACD33" w14:textId="77777777" w:rsidR="00F605A9" w:rsidRPr="00BC099F" w:rsidRDefault="00F605A9" w:rsidP="005F2482">
      <w:pPr>
        <w:pStyle w:val="ICASBody"/>
      </w:pPr>
      <w:r w:rsidRPr="00BC099F">
        <w:t>Over the course of a client</w:t>
      </w:r>
      <w:r>
        <w:t>’</w:t>
      </w:r>
      <w:r w:rsidRPr="00BC099F">
        <w:t xml:space="preserve">s engagement with the firm, </w:t>
      </w:r>
      <w:r>
        <w:t>numerous records</w:t>
      </w:r>
      <w:r w:rsidRPr="00BC099F">
        <w:t xml:space="preserve"> are likely to be </w:t>
      </w:r>
      <w:r>
        <w:t>handled</w:t>
      </w:r>
      <w:r w:rsidRPr="00BC099F">
        <w:t>. The volume and number of these will be a factor of the assignments undertaken and the length of relationship between the client and the firm.</w:t>
      </w:r>
      <w:r>
        <w:t xml:space="preserve"> Firms will typically store and order documents within files which can either be hard copy files or part of electronic document storage systems.</w:t>
      </w:r>
    </w:p>
    <w:p w14:paraId="4F8EF0B2" w14:textId="77777777" w:rsidR="00F605A9" w:rsidRPr="00BC099F" w:rsidRDefault="00F605A9" w:rsidP="005F2482">
      <w:pPr>
        <w:pStyle w:val="ICASBody"/>
      </w:pPr>
      <w:r w:rsidRPr="4EF2B041">
        <w:t xml:space="preserve">Irrespective of whether </w:t>
      </w:r>
      <w:r>
        <w:t>records</w:t>
      </w:r>
      <w:r w:rsidRPr="4EF2B041">
        <w:t xml:space="preserve"> are held electronically or in hard copy format, there will be a need to archive periodically. While recovery of information from electronic archiving may well be easier, and storage costs </w:t>
      </w:r>
      <w:r>
        <w:t xml:space="preserve">are </w:t>
      </w:r>
      <w:r w:rsidRPr="4EF2B041">
        <w:t xml:space="preserve">not as high as for physical </w:t>
      </w:r>
      <w:r>
        <w:t>records</w:t>
      </w:r>
      <w:r w:rsidRPr="4EF2B041">
        <w:t xml:space="preserve">, the discipline of archiving </w:t>
      </w:r>
      <w:r>
        <w:t>records</w:t>
      </w:r>
      <w:r w:rsidRPr="4EF2B041">
        <w:t xml:space="preserve"> and ensuring only current information is readily available aids the efficiency of a firm’s work.</w:t>
      </w:r>
    </w:p>
    <w:p w14:paraId="685C5B68" w14:textId="26F35660" w:rsidR="00F605A9" w:rsidRPr="00BC099F" w:rsidRDefault="00F605A9" w:rsidP="005F2482">
      <w:pPr>
        <w:pStyle w:val="ICASBody"/>
      </w:pPr>
      <w:r w:rsidRPr="00BC099F">
        <w:t xml:space="preserve">It is essential to ensure that crucial </w:t>
      </w:r>
      <w:r>
        <w:t>records</w:t>
      </w:r>
      <w:r w:rsidRPr="00BC099F">
        <w:t xml:space="preserve"> are not archived; the </w:t>
      </w:r>
      <w:r>
        <w:t>records</w:t>
      </w:r>
      <w:r w:rsidRPr="00BC099F">
        <w:t xml:space="preserve"> archived should be just those items which are unlikely to be referred to and </w:t>
      </w:r>
      <w:r>
        <w:t xml:space="preserve">which are unlikely to need to be retrieved in </w:t>
      </w:r>
      <w:proofErr w:type="spellStart"/>
      <w:r>
        <w:t>urgency</w:t>
      </w:r>
      <w:r w:rsidRPr="00BC099F">
        <w:t>.</w:t>
      </w:r>
      <w:r>
        <w:t>It</w:t>
      </w:r>
      <w:proofErr w:type="spellEnd"/>
      <w:r>
        <w:t xml:space="preserve"> should be remembered that archived records are still considered as being processed for the purpose of Data Protection legislation and would therefore be caught by any subject access request made by a client.</w:t>
      </w:r>
    </w:p>
    <w:p w14:paraId="3A2B9E64" w14:textId="173CFE7A" w:rsidR="00F605A9" w:rsidRPr="00BC099F" w:rsidRDefault="00F605A9" w:rsidP="00CA4323">
      <w:pPr>
        <w:pStyle w:val="ICASBody"/>
        <w:spacing w:after="120"/>
      </w:pPr>
      <w:r w:rsidRPr="00BC099F">
        <w:t>Typical file</w:t>
      </w:r>
      <w:r w:rsidR="007E6B8C">
        <w:t xml:space="preserve"> types</w:t>
      </w:r>
      <w:r w:rsidRPr="00BC099F">
        <w:t xml:space="preserve"> and factors to consider when archiving include:</w:t>
      </w:r>
    </w:p>
    <w:p w14:paraId="3668349A" w14:textId="77777777" w:rsidR="00F605A9" w:rsidRPr="007E6B8C" w:rsidRDefault="00F605A9" w:rsidP="00CA4323">
      <w:pPr>
        <w:pStyle w:val="Heading3"/>
        <w:spacing w:before="120"/>
      </w:pPr>
      <w:r w:rsidRPr="007E6B8C">
        <w:t>Correspondence files</w:t>
      </w:r>
    </w:p>
    <w:p w14:paraId="56B6BC5B" w14:textId="77777777" w:rsidR="00F605A9" w:rsidRPr="00BC099F" w:rsidRDefault="00F605A9" w:rsidP="00622451">
      <w:pPr>
        <w:pStyle w:val="ICASBody"/>
      </w:pPr>
      <w:r w:rsidRPr="00BC099F">
        <w:t xml:space="preserve">This would normally be retained in strict chronological order and would normally be archived immediately upon its replacement when it is full. It is essential that documents such as signed engagement letters and signed accounts are not filed </w:t>
      </w:r>
      <w:r>
        <w:t>i</w:t>
      </w:r>
      <w:r w:rsidRPr="00BC099F">
        <w:t>n the correspondence file.</w:t>
      </w:r>
    </w:p>
    <w:p w14:paraId="3B64C2AE" w14:textId="77777777" w:rsidR="00F605A9" w:rsidRPr="007E6B8C" w:rsidRDefault="00F605A9" w:rsidP="00622451">
      <w:pPr>
        <w:pStyle w:val="Heading3"/>
      </w:pPr>
      <w:r w:rsidRPr="007E6B8C">
        <w:t>Accounts files</w:t>
      </w:r>
    </w:p>
    <w:p w14:paraId="238D5BF6" w14:textId="7B2727F0" w:rsidR="00F605A9" w:rsidRPr="00BC099F" w:rsidRDefault="00F605A9" w:rsidP="00622451">
      <w:pPr>
        <w:pStyle w:val="ICASBody"/>
      </w:pPr>
      <w:r w:rsidRPr="00BC099F">
        <w:t>Accounts working papers can normally be archived after two years so that the current and previous working file is easily available</w:t>
      </w:r>
      <w:r w:rsidR="005361F3">
        <w:t xml:space="preserve"> should it be required</w:t>
      </w:r>
      <w:r w:rsidRPr="00BC099F">
        <w:t xml:space="preserve">. </w:t>
      </w:r>
      <w:r>
        <w:t>Firms</w:t>
      </w:r>
      <w:r w:rsidRPr="00BC099F">
        <w:t xml:space="preserve"> would normally have one such file open per year, unl</w:t>
      </w:r>
      <w:r>
        <w:t>e</w:t>
      </w:r>
      <w:r w:rsidRPr="00BC099F">
        <w:t>ss the client is particularly small.</w:t>
      </w:r>
    </w:p>
    <w:p w14:paraId="010DC28A" w14:textId="77777777" w:rsidR="00F605A9" w:rsidRPr="007E6B8C" w:rsidRDefault="00F605A9" w:rsidP="00622451">
      <w:pPr>
        <w:pStyle w:val="Heading3"/>
      </w:pPr>
      <w:r w:rsidRPr="007E6B8C">
        <w:t>Audit files</w:t>
      </w:r>
    </w:p>
    <w:p w14:paraId="07ECD744" w14:textId="77777777" w:rsidR="00F605A9" w:rsidRPr="00BC099F" w:rsidRDefault="00F605A9" w:rsidP="00622451">
      <w:pPr>
        <w:pStyle w:val="ICASBody"/>
      </w:pPr>
      <w:r w:rsidRPr="00BC099F">
        <w:t xml:space="preserve">Audit working papers can normally be archived after two years so that at any one time the current and the previous working file is easily available. </w:t>
      </w:r>
    </w:p>
    <w:p w14:paraId="240B08D9" w14:textId="77777777" w:rsidR="00F605A9" w:rsidRPr="007E6B8C" w:rsidRDefault="00F605A9" w:rsidP="00622451">
      <w:pPr>
        <w:pStyle w:val="Heading3"/>
      </w:pPr>
      <w:r w:rsidRPr="007E6B8C">
        <w:t>Permanent/Tax files</w:t>
      </w:r>
    </w:p>
    <w:p w14:paraId="565F3433" w14:textId="2B2D366A" w:rsidR="00F605A9" w:rsidRPr="00BC099F" w:rsidRDefault="00F605A9" w:rsidP="00622451">
      <w:pPr>
        <w:pStyle w:val="ICASBody"/>
      </w:pPr>
      <w:r w:rsidRPr="47A8E5BD">
        <w:t>The nature of these files is such that the content requires to remain accessible. However</w:t>
      </w:r>
      <w:r w:rsidR="003B6889">
        <w:t>,</w:t>
      </w:r>
      <w:r w:rsidRPr="47A8E5BD">
        <w:t xml:space="preserve"> because of this and the nature of the documents included in the file, the file(s) can become bulky and numerous. It is generally signed accounts and signed returns which add to the bulk of such files. Once a tax return</w:t>
      </w:r>
      <w:r w:rsidR="003B6889">
        <w:t>,</w:t>
      </w:r>
      <w:r w:rsidRPr="47A8E5BD">
        <w:t xml:space="preserve"> and its associated accounts</w:t>
      </w:r>
      <w:r w:rsidR="003B6889">
        <w:t>,</w:t>
      </w:r>
      <w:r w:rsidRPr="47A8E5BD">
        <w:t xml:space="preserve"> are beyond the date at which HM Revenue &amp; Customs can open an enquiry (normally one year after the date the return was filled) then they could be archived.</w:t>
      </w:r>
    </w:p>
    <w:p w14:paraId="1D62760A" w14:textId="77777777" w:rsidR="00F605A9" w:rsidRPr="007E6B8C" w:rsidRDefault="00F605A9" w:rsidP="00622451">
      <w:pPr>
        <w:pStyle w:val="Heading3"/>
      </w:pPr>
      <w:r w:rsidRPr="007E6B8C">
        <w:t>VAT files</w:t>
      </w:r>
    </w:p>
    <w:p w14:paraId="65570FD5" w14:textId="77777777" w:rsidR="00F605A9" w:rsidRPr="00BC099F" w:rsidRDefault="00F605A9" w:rsidP="00622451">
      <w:pPr>
        <w:pStyle w:val="ICASBody"/>
      </w:pPr>
      <w:r w:rsidRPr="00BC099F">
        <w:t>These files would normally be completed in VAT return order with one section per return. They are therefore easy to thin, possibly taking the returns relating to the current and previous accounting periods from the front of the file and archiving the remainder.</w:t>
      </w:r>
    </w:p>
    <w:p w14:paraId="5807530B" w14:textId="77777777" w:rsidR="00F605A9" w:rsidRPr="007E6B8C" w:rsidRDefault="00F605A9" w:rsidP="00622451">
      <w:pPr>
        <w:pStyle w:val="Heading3"/>
      </w:pPr>
      <w:r w:rsidRPr="007E6B8C">
        <w:t>PAYE files</w:t>
      </w:r>
    </w:p>
    <w:p w14:paraId="2C099FB8" w14:textId="77777777" w:rsidR="00F605A9" w:rsidRPr="00BC099F" w:rsidRDefault="00F605A9" w:rsidP="00622451">
      <w:pPr>
        <w:pStyle w:val="ICASBody"/>
      </w:pPr>
      <w:r w:rsidRPr="00BC099F">
        <w:t>A new file should be opened for each tax year and the old file passed for storage in February following the end of the tax year. Queries regarding the P35 are less likely to result after this date.</w:t>
      </w:r>
    </w:p>
    <w:p w14:paraId="08411DB4" w14:textId="45C3E377" w:rsidR="00F605A9" w:rsidRPr="00BC099F" w:rsidRDefault="00F605A9" w:rsidP="00622451">
      <w:pPr>
        <w:pStyle w:val="ICASBody"/>
      </w:pPr>
      <w:r>
        <w:t>As part of the process of archiving, consideration should be given to how destruction of records will be carried out in the future. For example, if an external archive supplier is being used to store archived records and they will also destroy records in accordance with the firm’s instructions sometime later, you may wish to consider how the archiving can be organised to facilitate destruction in due course without the need to recall the records from storage for further review. Similarly, when archiving electronic records the archive may be organised in a way which best facilitates destruction in time.</w:t>
      </w:r>
    </w:p>
    <w:p w14:paraId="6271D166" w14:textId="77777777" w:rsidR="00F9025E" w:rsidRDefault="00F9025E">
      <w:pPr>
        <w:widowControl w:val="0"/>
        <w:autoSpaceDE w:val="0"/>
        <w:autoSpaceDN w:val="0"/>
        <w:rPr>
          <w:rFonts w:ascii="Arial" w:hAnsi="Arial" w:cs="Arial"/>
          <w:b/>
          <w:bCs/>
          <w:color w:val="000000"/>
          <w:sz w:val="28"/>
          <w:szCs w:val="28"/>
        </w:rPr>
      </w:pPr>
      <w:r>
        <w:br w:type="page"/>
      </w:r>
    </w:p>
    <w:p w14:paraId="0DC4EA85" w14:textId="14E64F03" w:rsidR="00F605A9" w:rsidRPr="00BC099F" w:rsidRDefault="00F605A9" w:rsidP="00AF0F3D">
      <w:pPr>
        <w:pStyle w:val="Heading2"/>
      </w:pPr>
      <w:r w:rsidRPr="00BC099F">
        <w:lastRenderedPageBreak/>
        <w:t xml:space="preserve">Retention </w:t>
      </w:r>
      <w:r>
        <w:t xml:space="preserve">and destruction </w:t>
      </w:r>
      <w:r w:rsidRPr="00BC099F">
        <w:t xml:space="preserve">of </w:t>
      </w:r>
      <w:r>
        <w:t>records</w:t>
      </w:r>
    </w:p>
    <w:p w14:paraId="5665B15A" w14:textId="77777777" w:rsidR="00F605A9" w:rsidRDefault="00F605A9" w:rsidP="00AF0F3D">
      <w:pPr>
        <w:pStyle w:val="ICASBody"/>
      </w:pPr>
      <w:r>
        <w:t xml:space="preserve">Firms should carefully consider the length of time for which they will hold records and should record the timescale for each record in a retention policy. Consideration requires to be given as part of the timescales set out in document retention policy to several factors. These include for example, </w:t>
      </w:r>
      <w:r w:rsidRPr="00B22123">
        <w:t xml:space="preserve">legal ownership, contract law, professional indemnity insurance conditions, </w:t>
      </w:r>
      <w:r>
        <w:t xml:space="preserve">and </w:t>
      </w:r>
      <w:r w:rsidRPr="00B22123">
        <w:t>tax legislation amongst others</w:t>
      </w:r>
      <w:r>
        <w:t>. Where personal data is held then the Data Protection Act 2018 contains specific principles including the requirement that personal data is not held for longer than is necessary, taking account of any timescale requirements in legislation.</w:t>
      </w:r>
    </w:p>
    <w:p w14:paraId="1651BD03" w14:textId="71028DBD" w:rsidR="00F605A9" w:rsidRPr="00BC099F" w:rsidRDefault="00F605A9" w:rsidP="00AF0F3D">
      <w:pPr>
        <w:pStyle w:val="ICASBody"/>
      </w:pPr>
      <w:r w:rsidRPr="00BC099F">
        <w:t xml:space="preserve">A firm may be asked to hold a wide variety of </w:t>
      </w:r>
      <w:r>
        <w:t>records</w:t>
      </w:r>
      <w:r w:rsidRPr="00BC099F">
        <w:t xml:space="preserve"> for a client and each </w:t>
      </w:r>
      <w:r>
        <w:t>record</w:t>
      </w:r>
      <w:r w:rsidRPr="00BC099F">
        <w:t xml:space="preserve"> may require a different retention policy.</w:t>
      </w:r>
      <w:r w:rsidR="00854616">
        <w:t xml:space="preserve"> </w:t>
      </w:r>
      <w:r w:rsidRPr="00BC099F">
        <w:t>If there is any doubt over a specific document, then it would be advisable to seek appropriate advice on whether the document should be retained.</w:t>
      </w:r>
    </w:p>
    <w:p w14:paraId="58CCE478" w14:textId="74732092" w:rsidR="00F605A9" w:rsidRPr="00BC099F" w:rsidRDefault="00F605A9" w:rsidP="00AF0F3D">
      <w:pPr>
        <w:pStyle w:val="ICASBody"/>
      </w:pPr>
      <w:r w:rsidRPr="782EDCD6">
        <w:t>Accounts working papers for a sole trader or a partnership are tax documents</w:t>
      </w:r>
      <w:r w:rsidR="00E94891">
        <w:t>,</w:t>
      </w:r>
      <w:r w:rsidRPr="782EDCD6">
        <w:t xml:space="preserve"> and as such</w:t>
      </w:r>
      <w:r w:rsidR="00E94891">
        <w:t>,</w:t>
      </w:r>
      <w:r w:rsidRPr="782EDCD6">
        <w:t xml:space="preserve"> must normally be retained for five years from 31 January following the tax year of assessment</w:t>
      </w:r>
      <w:r>
        <w:t xml:space="preserve"> </w:t>
      </w:r>
      <w:r w:rsidRPr="00571231">
        <w:t>(or 6 years from end of accounting period if the return is not for a tax year)</w:t>
      </w:r>
      <w:r>
        <w:t xml:space="preserve"> </w:t>
      </w:r>
      <w:r w:rsidRPr="782EDCD6">
        <w:t xml:space="preserve">(s12B TMA 1970). </w:t>
      </w:r>
    </w:p>
    <w:p w14:paraId="4765BB44" w14:textId="77777777" w:rsidR="00F605A9" w:rsidRPr="00BC099F" w:rsidRDefault="00F605A9" w:rsidP="00AF0F3D">
      <w:pPr>
        <w:pStyle w:val="ICASBody"/>
      </w:pPr>
      <w:r w:rsidRPr="00BC099F">
        <w:t xml:space="preserve">For professional indemnity insurance purposes, the record-keeping requirement is stronger still even where the statutory period of prescription and limitation of action (five years in Scotland; six years in England and Wales) may appear to have passed, </w:t>
      </w:r>
      <w:r>
        <w:t xml:space="preserve">and so </w:t>
      </w:r>
      <w:r w:rsidRPr="00BC099F">
        <w:t xml:space="preserve">it may not always be appropriate to destroy the files. </w:t>
      </w:r>
    </w:p>
    <w:p w14:paraId="24CDFA38" w14:textId="3AF05C3E" w:rsidR="00F605A9" w:rsidRDefault="00F605A9" w:rsidP="00AF0F3D">
      <w:pPr>
        <w:pStyle w:val="ICASBody"/>
      </w:pPr>
      <w:r w:rsidRPr="7C55F1F7">
        <w:t>The Money Laundering, Terrorist Financing and Transfer of Funds (Information on the Payer) Regulations 2017 (2017</w:t>
      </w:r>
      <w:r w:rsidR="005B6584">
        <w:t xml:space="preserve"> </w:t>
      </w:r>
      <w:r w:rsidRPr="7C55F1F7">
        <w:t xml:space="preserve">MLRs) also impose obligations on firms in relation to the retention of personal data demonstrating the verification of client identities.  Regulation 40 sets out that such personal data should be deleted five years following the completion of a particular transaction or the cessation of the client relationship. </w:t>
      </w:r>
    </w:p>
    <w:p w14:paraId="0D04FA02" w14:textId="77777777" w:rsidR="00F605A9" w:rsidRDefault="00F605A9" w:rsidP="00AF0F3D">
      <w:pPr>
        <w:pStyle w:val="ICASBody"/>
      </w:pPr>
      <w:r w:rsidRPr="00BC099F">
        <w:t>According to the particular circumstances, the prescriptive period may not actually have passed. The period of limitation runs from the date when the breach occurs or from the date that the alleged negligence became apparent or from when the alleged negligence causes the harm. In cases involving fraud, the period does not run until the injured party has discovered the fraud, even though this might be many years after the completion of the assignment.</w:t>
      </w:r>
    </w:p>
    <w:p w14:paraId="65A62BFA" w14:textId="22F4D5F5" w:rsidR="00F605A9" w:rsidRPr="00BC099F" w:rsidRDefault="00F605A9" w:rsidP="00AF0F3D">
      <w:pPr>
        <w:pStyle w:val="ICASBody"/>
      </w:pPr>
      <w:r w:rsidRPr="00BC099F">
        <w:t xml:space="preserve">There should be a clear document retention policy recorded for the firm which all staff should be made </w:t>
      </w:r>
      <w:r w:rsidR="00492BFF">
        <w:t>aware of and ensure they are familiar with</w:t>
      </w:r>
      <w:r w:rsidRPr="00BC099F">
        <w:t>.</w:t>
      </w:r>
      <w:r>
        <w:t xml:space="preserve"> It is important to ensure that the timescales in the policy are met, with regular reviews and destruction of papers which should no longer be retained. </w:t>
      </w:r>
    </w:p>
    <w:p w14:paraId="09F9503D" w14:textId="77777777" w:rsidR="00F605A9" w:rsidRDefault="00F605A9" w:rsidP="00AF0F3D">
      <w:pPr>
        <w:pStyle w:val="ICASBody"/>
      </w:pPr>
      <w:r>
        <w:t xml:space="preserve">Where records are no longer to be retained consideration is again required to the ownership of documents. </w:t>
      </w:r>
      <w:r w:rsidRPr="001207CE">
        <w:t xml:space="preserve">Where </w:t>
      </w:r>
      <w:r>
        <w:t xml:space="preserve">a </w:t>
      </w:r>
      <w:r w:rsidRPr="001207CE">
        <w:t>document belongs to a client then it would be best practice to offer to return it before destroying it.</w:t>
      </w:r>
    </w:p>
    <w:p w14:paraId="443E705A" w14:textId="77777777" w:rsidR="00F605A9" w:rsidRPr="00BC099F" w:rsidRDefault="00F605A9" w:rsidP="00AF0F3D">
      <w:pPr>
        <w:pStyle w:val="ICASBody"/>
      </w:pPr>
      <w:r w:rsidRPr="00BC099F">
        <w:t xml:space="preserve">Destruction of </w:t>
      </w:r>
      <w:r>
        <w:t>records</w:t>
      </w:r>
      <w:r w:rsidRPr="00BC099F">
        <w:t xml:space="preserve"> should only take place with the approval of a principal in the firm, or someone senior with delegated authority</w:t>
      </w:r>
      <w:r>
        <w:t xml:space="preserve">. Where files are to be destroyed these should be </w:t>
      </w:r>
      <w:r w:rsidRPr="00BC099F">
        <w:t>reviewed to ensure that any vital documents are extracted</w:t>
      </w:r>
      <w:r>
        <w:t xml:space="preserve"> prior to destruction</w:t>
      </w:r>
      <w:r w:rsidRPr="00BC099F">
        <w:t>.</w:t>
      </w:r>
    </w:p>
    <w:p w14:paraId="1C3D6FA6" w14:textId="2B3BE95B" w:rsidR="00F605A9" w:rsidRDefault="00F605A9" w:rsidP="00AF0F3D">
      <w:pPr>
        <w:pStyle w:val="ICASBody"/>
      </w:pPr>
      <w:r>
        <w:t>To preserve confidentiality and comply with obligations in relation to personal data under Data Protection legislation, the destruction of records should always be done securely</w:t>
      </w:r>
      <w:r w:rsidR="00527083">
        <w:t>.</w:t>
      </w:r>
    </w:p>
    <w:p w14:paraId="62CFEE0F" w14:textId="77D182F7" w:rsidR="00527083" w:rsidRDefault="00000000" w:rsidP="00AF0F3D">
      <w:pPr>
        <w:pStyle w:val="ICASBody"/>
      </w:pPr>
      <w:hyperlink w:anchor="Appendix2" w:history="1">
        <w:r w:rsidR="00527083" w:rsidRPr="00AF0F3D">
          <w:rPr>
            <w:rStyle w:val="Hyperlink"/>
          </w:rPr>
          <w:t>Appendix 2</w:t>
        </w:r>
      </w:hyperlink>
      <w:r w:rsidR="00527083">
        <w:t xml:space="preserve"> provides</w:t>
      </w:r>
      <w:r w:rsidR="00527083" w:rsidRPr="00BC099F">
        <w:t xml:space="preserve"> some guidance and suggestions on document retention periods. </w:t>
      </w:r>
    </w:p>
    <w:p w14:paraId="630C56A3" w14:textId="77777777" w:rsidR="00F9025E" w:rsidRDefault="00F9025E">
      <w:pPr>
        <w:widowControl w:val="0"/>
        <w:autoSpaceDE w:val="0"/>
        <w:autoSpaceDN w:val="0"/>
        <w:rPr>
          <w:rFonts w:ascii="Arial" w:hAnsi="Arial" w:cs="Arial"/>
          <w:b/>
          <w:bCs/>
          <w:color w:val="000000"/>
          <w:sz w:val="28"/>
          <w:szCs w:val="28"/>
        </w:rPr>
      </w:pPr>
      <w:r>
        <w:br w:type="page"/>
      </w:r>
    </w:p>
    <w:p w14:paraId="32EE8F71" w14:textId="437B0F72" w:rsidR="00F605A9" w:rsidRPr="00627047" w:rsidRDefault="00F605A9" w:rsidP="00AF0F3D">
      <w:pPr>
        <w:pStyle w:val="Heading2"/>
      </w:pPr>
      <w:r>
        <w:lastRenderedPageBreak/>
        <w:t>Fi</w:t>
      </w:r>
      <w:r w:rsidR="00FF0D06">
        <w:t>r</w:t>
      </w:r>
      <w:r>
        <w:t>m cessation, merger or sale</w:t>
      </w:r>
    </w:p>
    <w:p w14:paraId="1701A363" w14:textId="107ECD59" w:rsidR="00F605A9" w:rsidRDefault="003C04A4" w:rsidP="00AF0F3D">
      <w:pPr>
        <w:pStyle w:val="ICASBody"/>
      </w:pPr>
      <w:r>
        <w:t>S</w:t>
      </w:r>
      <w:r w:rsidR="00F605A9">
        <w:t>pecial considerations are required in relation to the retention and destruction of records</w:t>
      </w:r>
      <w:r>
        <w:t xml:space="preserve"> where a firm ceases</w:t>
      </w:r>
      <w:r w:rsidR="00F605A9">
        <w:t>.</w:t>
      </w:r>
      <w:r>
        <w:t xml:space="preserve"> </w:t>
      </w:r>
      <w:r w:rsidR="00F605A9">
        <w:t>Considerations concerning legislative requirements, tax legislation, data protection legislation and contractual positions amongst others are as relevant on cessation of a firm. As a result, the general position set out above remains applicable.</w:t>
      </w:r>
    </w:p>
    <w:p w14:paraId="702AFD28" w14:textId="77777777" w:rsidR="00F605A9" w:rsidRDefault="00F605A9" w:rsidP="00AF0F3D">
      <w:pPr>
        <w:pStyle w:val="ICASBody"/>
      </w:pPr>
      <w:r>
        <w:t>While it may be understandable that there would be a desire not to have to retain records, not least because of the issue of storage and its possible associated costs, appropriate arrangements are likely to have to be made to continue to store records for a considerable period after the cessation of the firm.</w:t>
      </w:r>
    </w:p>
    <w:p w14:paraId="6E8E56D5" w14:textId="3CF7A070" w:rsidR="00F605A9" w:rsidRDefault="00F605A9" w:rsidP="00AF0F3D">
      <w:pPr>
        <w:pStyle w:val="ICASBody"/>
      </w:pPr>
      <w:r>
        <w:t xml:space="preserve">Where a firm is ceasing on merger or sale of a practice then a practical solution is often to arrange that the merged or purchasing firm to take over the records. Careful consideration should be given to agreeing in writing the conditions relating to storage and access of the records, normally as part of the sale and purchase agreement. </w:t>
      </w:r>
    </w:p>
    <w:p w14:paraId="0E3A794D" w14:textId="77777777" w:rsidR="00594ED1" w:rsidRPr="00BC099F" w:rsidRDefault="00594ED1" w:rsidP="00AF0F3D">
      <w:pPr>
        <w:pStyle w:val="Heading2"/>
      </w:pPr>
      <w:r w:rsidRPr="00BC099F">
        <w:t>Useful links</w:t>
      </w:r>
    </w:p>
    <w:p w14:paraId="2A4F366B" w14:textId="540EEF79" w:rsidR="00594ED1" w:rsidRPr="006457F3" w:rsidRDefault="00000000" w:rsidP="00594ED1">
      <w:pPr>
        <w:spacing w:before="120" w:after="120"/>
        <w:contextualSpacing/>
        <w:jc w:val="both"/>
        <w:rPr>
          <w:szCs w:val="20"/>
        </w:rPr>
      </w:pPr>
      <w:hyperlink r:id="rId11" w:history="1">
        <w:proofErr w:type="spellStart"/>
        <w:r w:rsidR="00594ED1" w:rsidRPr="00D128AA">
          <w:rPr>
            <w:rStyle w:val="Hyperlink"/>
            <w:rFonts w:asciiTheme="minorHAnsi" w:hAnsiTheme="minorHAnsi"/>
            <w:szCs w:val="20"/>
          </w:rPr>
          <w:t>Helpsheet</w:t>
        </w:r>
        <w:proofErr w:type="spellEnd"/>
        <w:r w:rsidR="00594ED1" w:rsidRPr="00D128AA">
          <w:rPr>
            <w:rStyle w:val="Hyperlink"/>
            <w:rFonts w:asciiTheme="minorHAnsi" w:hAnsiTheme="minorHAnsi"/>
            <w:szCs w:val="20"/>
          </w:rPr>
          <w:t>: Rights of access to documents and files</w:t>
        </w:r>
      </w:hyperlink>
    </w:p>
    <w:p w14:paraId="3BE75F71" w14:textId="3B2DF4DE" w:rsidR="00594ED1" w:rsidRPr="00910084" w:rsidRDefault="00910084" w:rsidP="00594ED1">
      <w:pPr>
        <w:spacing w:before="120" w:after="120"/>
        <w:contextualSpacing/>
        <w:jc w:val="both"/>
        <w:rPr>
          <w:rStyle w:val="Hyperlink"/>
          <w:szCs w:val="20"/>
        </w:rPr>
      </w:pPr>
      <w:r>
        <w:rPr>
          <w:rFonts w:ascii="Arial" w:hAnsi="Arial"/>
          <w:szCs w:val="20"/>
        </w:rPr>
        <w:fldChar w:fldCharType="begin"/>
      </w:r>
      <w:r>
        <w:rPr>
          <w:rFonts w:ascii="Arial" w:hAnsi="Arial"/>
          <w:szCs w:val="20"/>
        </w:rPr>
        <w:instrText>HYPERLINK "https://www.icas.com/__data/assets/pdf_file/0004/268348/Lien-helpsheet-August-2023.pdf"</w:instrText>
      </w:r>
      <w:r>
        <w:rPr>
          <w:rFonts w:ascii="Arial" w:hAnsi="Arial"/>
          <w:szCs w:val="20"/>
        </w:rPr>
      </w:r>
      <w:r>
        <w:rPr>
          <w:rFonts w:ascii="Arial" w:hAnsi="Arial"/>
          <w:szCs w:val="20"/>
        </w:rPr>
        <w:fldChar w:fldCharType="separate"/>
      </w:r>
      <w:proofErr w:type="spellStart"/>
      <w:r w:rsidR="00594ED1" w:rsidRPr="00910084">
        <w:rPr>
          <w:rStyle w:val="Hyperlink"/>
          <w:szCs w:val="20"/>
        </w:rPr>
        <w:t>Helpsheet</w:t>
      </w:r>
      <w:proofErr w:type="spellEnd"/>
      <w:r w:rsidR="00594ED1" w:rsidRPr="00910084">
        <w:rPr>
          <w:rStyle w:val="Hyperlink"/>
          <w:szCs w:val="20"/>
        </w:rPr>
        <w:t>: Exercising a right of lien</w:t>
      </w:r>
    </w:p>
    <w:p w14:paraId="36455136" w14:textId="1AB543E4" w:rsidR="00594ED1" w:rsidRPr="00AF0F3D" w:rsidRDefault="00910084" w:rsidP="00594ED1">
      <w:pPr>
        <w:spacing w:before="120" w:after="120"/>
        <w:contextualSpacing/>
        <w:jc w:val="both"/>
        <w:rPr>
          <w:rStyle w:val="Hyperlink"/>
        </w:rPr>
      </w:pPr>
      <w:r>
        <w:rPr>
          <w:rFonts w:ascii="Arial" w:hAnsi="Arial"/>
          <w:szCs w:val="20"/>
        </w:rPr>
        <w:fldChar w:fldCharType="end"/>
      </w:r>
      <w:hyperlink r:id="rId12" w:history="1">
        <w:proofErr w:type="spellStart"/>
        <w:r w:rsidR="00594ED1" w:rsidRPr="006457F3">
          <w:rPr>
            <w:rStyle w:val="Hyperlink"/>
            <w:szCs w:val="20"/>
          </w:rPr>
          <w:t>Helpsheet</w:t>
        </w:r>
        <w:proofErr w:type="spellEnd"/>
        <w:r w:rsidR="00594ED1" w:rsidRPr="006457F3">
          <w:rPr>
            <w:rStyle w:val="Hyperlink"/>
            <w:szCs w:val="20"/>
          </w:rPr>
          <w:t>: Engagement letters</w:t>
        </w:r>
      </w:hyperlink>
    </w:p>
    <w:p w14:paraId="2FE81573" w14:textId="77777777" w:rsidR="00594ED1" w:rsidRPr="00BC099F" w:rsidRDefault="00594ED1" w:rsidP="000A73F9">
      <w:pPr>
        <w:pStyle w:val="Heading2"/>
      </w:pPr>
      <w:r w:rsidRPr="00BC099F">
        <w:t>Further information and assistance</w:t>
      </w:r>
    </w:p>
    <w:p w14:paraId="758BBB09" w14:textId="77777777" w:rsidR="00594ED1" w:rsidRPr="00BC099F" w:rsidRDefault="00594ED1" w:rsidP="000A73F9">
      <w:pPr>
        <w:pStyle w:val="ICASBody"/>
      </w:pPr>
      <w:r w:rsidRPr="00BC099F">
        <w:t xml:space="preserve">Further assistance and information can be obtained from the Practice Support team. You can contact them through the Practice Support section of the </w:t>
      </w:r>
      <w:hyperlink r:id="rId13">
        <w:r w:rsidRPr="000A73F9">
          <w:rPr>
            <w:rStyle w:val="Hyperlink"/>
          </w:rPr>
          <w:t>ICAS Technical helpdesk</w:t>
        </w:r>
      </w:hyperlink>
      <w:r w:rsidRPr="00BC099F">
        <w:t>.</w:t>
      </w:r>
    </w:p>
    <w:p w14:paraId="3232C5D2" w14:textId="77777777" w:rsidR="00594ED1" w:rsidRDefault="00594ED1" w:rsidP="00594ED1">
      <w:pPr>
        <w:contextualSpacing/>
        <w:jc w:val="both"/>
        <w:rPr>
          <w:b/>
          <w:bCs/>
          <w:sz w:val="16"/>
          <w:szCs w:val="16"/>
        </w:rPr>
      </w:pPr>
    </w:p>
    <w:p w14:paraId="34D96510" w14:textId="77777777" w:rsidR="00764576" w:rsidRDefault="00764576" w:rsidP="00594ED1">
      <w:pPr>
        <w:contextualSpacing/>
        <w:jc w:val="both"/>
        <w:rPr>
          <w:b/>
          <w:bCs/>
          <w:sz w:val="16"/>
          <w:szCs w:val="16"/>
        </w:rPr>
      </w:pPr>
    </w:p>
    <w:p w14:paraId="07E617AE" w14:textId="77777777" w:rsidR="004949A7" w:rsidRDefault="004949A7" w:rsidP="004949A7">
      <w:pPr>
        <w:pStyle w:val="ICASBoxOutHeading"/>
      </w:pPr>
    </w:p>
    <w:p w14:paraId="780D0E89" w14:textId="77777777" w:rsidR="004949A7" w:rsidRDefault="004949A7" w:rsidP="004949A7">
      <w:pPr>
        <w:pStyle w:val="ICASBoxOutHeading"/>
      </w:pPr>
    </w:p>
    <w:p w14:paraId="44401666" w14:textId="77777777" w:rsidR="004949A7" w:rsidRDefault="004949A7" w:rsidP="004949A7">
      <w:pPr>
        <w:pStyle w:val="ICASBoxOutHeading"/>
      </w:pPr>
    </w:p>
    <w:p w14:paraId="724A9FA1" w14:textId="77777777" w:rsidR="004949A7" w:rsidRDefault="004949A7" w:rsidP="004949A7">
      <w:pPr>
        <w:pStyle w:val="ICASBoxOutHeading"/>
      </w:pPr>
    </w:p>
    <w:p w14:paraId="6B5B9D4A" w14:textId="77777777" w:rsidR="004949A7" w:rsidRDefault="004949A7" w:rsidP="004949A7">
      <w:pPr>
        <w:pStyle w:val="ICASBoxOutHeading"/>
      </w:pPr>
    </w:p>
    <w:p w14:paraId="1559F19B" w14:textId="77777777" w:rsidR="004949A7" w:rsidRDefault="004949A7" w:rsidP="004949A7">
      <w:pPr>
        <w:pStyle w:val="ICASBoxOutHeading"/>
      </w:pPr>
    </w:p>
    <w:p w14:paraId="44B7F0CA" w14:textId="77777777" w:rsidR="004949A7" w:rsidRDefault="004949A7" w:rsidP="004949A7">
      <w:pPr>
        <w:pStyle w:val="ICASBoxOutHeading"/>
      </w:pPr>
    </w:p>
    <w:p w14:paraId="2F37836D" w14:textId="77777777" w:rsidR="004949A7" w:rsidRDefault="004949A7" w:rsidP="004949A7">
      <w:pPr>
        <w:pStyle w:val="ICASBoxOutHeading"/>
      </w:pPr>
    </w:p>
    <w:p w14:paraId="12EAC04A" w14:textId="77777777" w:rsidR="004949A7" w:rsidRDefault="004949A7" w:rsidP="004949A7">
      <w:pPr>
        <w:pStyle w:val="ICASBoxOutHeading"/>
      </w:pPr>
    </w:p>
    <w:p w14:paraId="64028625" w14:textId="77777777" w:rsidR="004949A7" w:rsidRDefault="004949A7" w:rsidP="004949A7">
      <w:pPr>
        <w:pStyle w:val="ICASBoxOutHeading"/>
      </w:pPr>
    </w:p>
    <w:p w14:paraId="0B98E135" w14:textId="77777777" w:rsidR="004949A7" w:rsidRDefault="004949A7" w:rsidP="004949A7">
      <w:pPr>
        <w:pStyle w:val="ICASBoxOutHeading"/>
      </w:pPr>
    </w:p>
    <w:p w14:paraId="02B976A1" w14:textId="77777777" w:rsidR="004949A7" w:rsidRDefault="004949A7" w:rsidP="004949A7">
      <w:pPr>
        <w:pStyle w:val="ICASBoxOutHeading"/>
      </w:pPr>
    </w:p>
    <w:p w14:paraId="05F9C0EE" w14:textId="77777777" w:rsidR="004949A7" w:rsidRDefault="004949A7" w:rsidP="004949A7">
      <w:pPr>
        <w:pStyle w:val="ICASBoxOutHeading"/>
      </w:pPr>
    </w:p>
    <w:p w14:paraId="18C917FB" w14:textId="77777777" w:rsidR="00215FF8" w:rsidRDefault="00215FF8" w:rsidP="004949A7">
      <w:pPr>
        <w:pStyle w:val="ICASBoxOutHeading"/>
      </w:pPr>
    </w:p>
    <w:p w14:paraId="0CB4BB55" w14:textId="77777777" w:rsidR="00215FF8" w:rsidRDefault="00215FF8" w:rsidP="004949A7">
      <w:pPr>
        <w:pStyle w:val="ICASBoxOutHeading"/>
      </w:pPr>
    </w:p>
    <w:p w14:paraId="27CE2DA5" w14:textId="77777777" w:rsidR="00215FF8" w:rsidRDefault="00215FF8" w:rsidP="004949A7">
      <w:pPr>
        <w:pStyle w:val="ICASBoxOutHeading"/>
      </w:pPr>
    </w:p>
    <w:p w14:paraId="7D0F35DD" w14:textId="77777777" w:rsidR="004949A7" w:rsidRDefault="004949A7" w:rsidP="004949A7">
      <w:pPr>
        <w:pStyle w:val="ICASBoxOutHeading"/>
      </w:pPr>
    </w:p>
    <w:p w14:paraId="4B3A9B27" w14:textId="77777777" w:rsidR="004949A7" w:rsidRDefault="004949A7" w:rsidP="004949A7">
      <w:pPr>
        <w:pStyle w:val="ICASBoxOutHeading"/>
      </w:pPr>
    </w:p>
    <w:p w14:paraId="30CDA5E0" w14:textId="77777777" w:rsidR="004949A7" w:rsidRDefault="004949A7" w:rsidP="004949A7">
      <w:pPr>
        <w:pStyle w:val="ICASBoxOutHeading"/>
      </w:pPr>
    </w:p>
    <w:p w14:paraId="60DBE3F3" w14:textId="5C61504D" w:rsidR="00594ED1" w:rsidRPr="00215FF8" w:rsidRDefault="00594ED1" w:rsidP="004949A7">
      <w:pPr>
        <w:pStyle w:val="ICASBoxOutHeading"/>
        <w:rPr>
          <w:sz w:val="18"/>
          <w:szCs w:val="18"/>
        </w:rPr>
      </w:pPr>
      <w:r w:rsidRPr="00215FF8">
        <w:rPr>
          <w:sz w:val="18"/>
          <w:szCs w:val="18"/>
        </w:rPr>
        <w:t>Disclaimer:</w:t>
      </w:r>
    </w:p>
    <w:p w14:paraId="6EC4D93C" w14:textId="77777777" w:rsidR="00594ED1" w:rsidRPr="00215FF8" w:rsidRDefault="00594ED1" w:rsidP="000A73F9">
      <w:pPr>
        <w:pStyle w:val="ICASBoxOutBody"/>
        <w:rPr>
          <w:sz w:val="18"/>
          <w:szCs w:val="18"/>
        </w:rPr>
      </w:pPr>
    </w:p>
    <w:p w14:paraId="10CECB96" w14:textId="77777777" w:rsidR="00594ED1" w:rsidRPr="00215FF8" w:rsidRDefault="00594ED1" w:rsidP="000A73F9">
      <w:pPr>
        <w:pStyle w:val="ICASBoxOutBody"/>
        <w:rPr>
          <w:sz w:val="18"/>
          <w:szCs w:val="18"/>
        </w:rPr>
      </w:pPr>
      <w:r w:rsidRPr="00215FF8">
        <w:rPr>
          <w:sz w:val="18"/>
          <w:szCs w:val="18"/>
        </w:rPr>
        <w:t xml:space="preserve">This document has been published by ICAS for information purposes only and ICAS cannot accept responsibility for any person acting or refraining to act as a result of any material contained within this guidance. Recipients should make their own independent evaluation of this information and no action should be taken, solely relying on it. The guidance is intended to assist members in the general application of the Regulations, it is not intended to cover all aspects. </w:t>
      </w:r>
    </w:p>
    <w:p w14:paraId="6864E579" w14:textId="77777777" w:rsidR="00594ED1" w:rsidRPr="00215FF8" w:rsidRDefault="00594ED1" w:rsidP="000A73F9">
      <w:pPr>
        <w:pStyle w:val="ICASBoxOutBody"/>
        <w:rPr>
          <w:sz w:val="18"/>
          <w:szCs w:val="18"/>
        </w:rPr>
      </w:pPr>
    </w:p>
    <w:p w14:paraId="01C444B4" w14:textId="77777777" w:rsidR="00594ED1" w:rsidRPr="00215FF8" w:rsidRDefault="00594ED1" w:rsidP="000A73F9">
      <w:pPr>
        <w:pStyle w:val="ICASBoxOutBody"/>
        <w:rPr>
          <w:sz w:val="18"/>
          <w:szCs w:val="18"/>
        </w:rPr>
      </w:pPr>
      <w:r w:rsidRPr="00215FF8">
        <w:rPr>
          <w:sz w:val="18"/>
          <w:szCs w:val="18"/>
        </w:rPr>
        <w:t>Whilst this information is believed to be reliable, ICAS, its employees and others involved in the production of this information do not provide any representation or warranty (express or implied) of any kind as regards the accuracy or completeness of this information, nor do they accept any responsibility or liability for loss or damage arising in any way from any use made of or reliance placed on this information.</w:t>
      </w:r>
    </w:p>
    <w:p w14:paraId="618C5686" w14:textId="77777777" w:rsidR="00594ED1" w:rsidRPr="00215FF8" w:rsidRDefault="00594ED1" w:rsidP="000A73F9">
      <w:pPr>
        <w:pStyle w:val="ICASBoxOutBody"/>
        <w:rPr>
          <w:sz w:val="18"/>
          <w:szCs w:val="18"/>
        </w:rPr>
      </w:pPr>
    </w:p>
    <w:p w14:paraId="5FE0482B" w14:textId="77777777" w:rsidR="00594ED1" w:rsidRPr="00215FF8" w:rsidRDefault="00594ED1" w:rsidP="000A73F9">
      <w:pPr>
        <w:pStyle w:val="ICASBoxOutBody"/>
        <w:rPr>
          <w:sz w:val="18"/>
          <w:szCs w:val="18"/>
        </w:rPr>
      </w:pPr>
      <w:r w:rsidRPr="00215FF8">
        <w:rPr>
          <w:sz w:val="18"/>
          <w:szCs w:val="18"/>
        </w:rPr>
        <w:t>All information is believed to be correct at the time of publication.</w:t>
      </w:r>
    </w:p>
    <w:p w14:paraId="233DEE28" w14:textId="21CB1F1C" w:rsidR="005F3962" w:rsidRPr="005F3962" w:rsidRDefault="00E01CA4" w:rsidP="000B6454">
      <w:pPr>
        <w:pStyle w:val="Heading2"/>
      </w:pPr>
      <w:r>
        <w:br w:type="page"/>
      </w:r>
      <w:bookmarkStart w:id="0" w:name="Appendix1"/>
      <w:r w:rsidR="005F3962" w:rsidRPr="005F3962">
        <w:lastRenderedPageBreak/>
        <w:t>Appendix 1</w:t>
      </w:r>
      <w:bookmarkEnd w:id="0"/>
      <w:r w:rsidR="005F3962" w:rsidRPr="005F3962">
        <w:t xml:space="preserve"> </w:t>
      </w:r>
      <w:r w:rsidR="005F3962">
        <w:t>– record ownership</w:t>
      </w:r>
    </w:p>
    <w:p w14:paraId="292B7E1C" w14:textId="19E64B87" w:rsidR="00374212" w:rsidRPr="00BC099F" w:rsidRDefault="00393E9A" w:rsidP="000B6454">
      <w:pPr>
        <w:pStyle w:val="ICASBody"/>
      </w:pPr>
      <w:r w:rsidRPr="4EF2B041">
        <w:t>To provide further guidance</w:t>
      </w:r>
      <w:r w:rsidR="007E02CF" w:rsidRPr="4EF2B041">
        <w:t>,</w:t>
      </w:r>
      <w:r w:rsidRPr="4EF2B041">
        <w:t xml:space="preserve"> the table below provide</w:t>
      </w:r>
      <w:r w:rsidR="007E02CF" w:rsidRPr="4EF2B041">
        <w:t>s examples of typical scenarios encountered by firm</w:t>
      </w:r>
      <w:r w:rsidR="00037859">
        <w:t>s</w:t>
      </w:r>
      <w:r w:rsidR="007C6C5B" w:rsidRPr="4EF2B041">
        <w:t xml:space="preserve"> to illustrate </w:t>
      </w:r>
      <w:r w:rsidR="00023760">
        <w:t>wh</w:t>
      </w:r>
      <w:r w:rsidR="006B7C2D">
        <w:t>o will generally be considered to own certain records</w:t>
      </w:r>
      <w:r w:rsidR="007C6C5B" w:rsidRPr="4EF2B041">
        <w:t>:</w:t>
      </w:r>
    </w:p>
    <w:tbl>
      <w:tblPr>
        <w:tblStyle w:val="TableGrid"/>
        <w:tblW w:w="0" w:type="auto"/>
        <w:tblLook w:val="04A0" w:firstRow="1" w:lastRow="0" w:firstColumn="1" w:lastColumn="0" w:noHBand="0" w:noVBand="1"/>
      </w:tblPr>
      <w:tblGrid>
        <w:gridCol w:w="3182"/>
        <w:gridCol w:w="3183"/>
        <w:gridCol w:w="3183"/>
      </w:tblGrid>
      <w:tr w:rsidR="007C6C5B" w:rsidRPr="00536763" w14:paraId="14DA2603" w14:textId="77777777" w:rsidTr="00344EAC">
        <w:tc>
          <w:tcPr>
            <w:tcW w:w="3182" w:type="dxa"/>
            <w:tcBorders>
              <w:bottom w:val="single" w:sz="4" w:space="0" w:color="auto"/>
            </w:tcBorders>
          </w:tcPr>
          <w:p w14:paraId="114772C6" w14:textId="7036AE6B" w:rsidR="007C6C5B" w:rsidRPr="00536763" w:rsidRDefault="007C6C5B" w:rsidP="000B6454">
            <w:pPr>
              <w:pStyle w:val="ICASBody"/>
              <w:rPr>
                <w:b/>
                <w:bCs/>
              </w:rPr>
            </w:pPr>
            <w:r w:rsidRPr="00536763">
              <w:rPr>
                <w:b/>
                <w:bCs/>
              </w:rPr>
              <w:t>Scenario</w:t>
            </w:r>
          </w:p>
        </w:tc>
        <w:tc>
          <w:tcPr>
            <w:tcW w:w="3183" w:type="dxa"/>
            <w:tcBorders>
              <w:bottom w:val="single" w:sz="4" w:space="0" w:color="auto"/>
            </w:tcBorders>
          </w:tcPr>
          <w:p w14:paraId="7D0ADDA2" w14:textId="304C7E2B" w:rsidR="007C6C5B" w:rsidRPr="00536763" w:rsidRDefault="003833BC" w:rsidP="000B6454">
            <w:pPr>
              <w:pStyle w:val="ICASBody"/>
              <w:rPr>
                <w:b/>
                <w:bCs/>
              </w:rPr>
            </w:pPr>
            <w:r w:rsidRPr="00536763">
              <w:rPr>
                <w:b/>
                <w:bCs/>
              </w:rPr>
              <w:t xml:space="preserve">Type of </w:t>
            </w:r>
            <w:r w:rsidR="006B7C2D">
              <w:rPr>
                <w:b/>
                <w:bCs/>
              </w:rPr>
              <w:t>records</w:t>
            </w:r>
          </w:p>
        </w:tc>
        <w:tc>
          <w:tcPr>
            <w:tcW w:w="3183" w:type="dxa"/>
            <w:tcBorders>
              <w:bottom w:val="single" w:sz="4" w:space="0" w:color="auto"/>
            </w:tcBorders>
          </w:tcPr>
          <w:p w14:paraId="24E58989" w14:textId="5305C6B3" w:rsidR="007C6C5B" w:rsidRPr="00536763" w:rsidRDefault="003833BC" w:rsidP="000B6454">
            <w:pPr>
              <w:pStyle w:val="ICASBody"/>
              <w:rPr>
                <w:b/>
                <w:bCs/>
              </w:rPr>
            </w:pPr>
            <w:r w:rsidRPr="00536763">
              <w:rPr>
                <w:b/>
                <w:bCs/>
              </w:rPr>
              <w:t>Ownership</w:t>
            </w:r>
          </w:p>
        </w:tc>
      </w:tr>
      <w:tr w:rsidR="00344EAC" w:rsidRPr="00536763" w14:paraId="5E45F9BF" w14:textId="77777777" w:rsidTr="00344EAC">
        <w:tc>
          <w:tcPr>
            <w:tcW w:w="9548" w:type="dxa"/>
            <w:gridSpan w:val="3"/>
            <w:shd w:val="clear" w:color="auto" w:fill="D9D9D9" w:themeFill="background1" w:themeFillShade="D9"/>
          </w:tcPr>
          <w:p w14:paraId="48938444" w14:textId="5C51AD40" w:rsidR="00344EAC" w:rsidRPr="00536763" w:rsidRDefault="00344EAC" w:rsidP="000B6454">
            <w:pPr>
              <w:pStyle w:val="ICASBody"/>
              <w:rPr>
                <w:b/>
                <w:bCs/>
              </w:rPr>
            </w:pPr>
            <w:r w:rsidRPr="00536763">
              <w:rPr>
                <w:b/>
                <w:bCs/>
              </w:rPr>
              <w:t>Correspondence</w:t>
            </w:r>
          </w:p>
        </w:tc>
      </w:tr>
      <w:tr w:rsidR="005E6B1F" w:rsidRPr="00536763" w14:paraId="786FDD1A" w14:textId="77777777" w:rsidTr="007C6C5B">
        <w:tc>
          <w:tcPr>
            <w:tcW w:w="3182" w:type="dxa"/>
            <w:vMerge w:val="restart"/>
          </w:tcPr>
          <w:p w14:paraId="0FF10162" w14:textId="1DE76E65" w:rsidR="005E6B1F" w:rsidRPr="00536763" w:rsidRDefault="005E6B1F" w:rsidP="000B6454">
            <w:pPr>
              <w:pStyle w:val="ICASBody"/>
            </w:pPr>
            <w:r w:rsidRPr="00536763">
              <w:t>Communications between a firm and their client</w:t>
            </w:r>
          </w:p>
        </w:tc>
        <w:tc>
          <w:tcPr>
            <w:tcW w:w="3183" w:type="dxa"/>
          </w:tcPr>
          <w:p w14:paraId="2BCEBA3C" w14:textId="345D9EE7" w:rsidR="005E6B1F" w:rsidRPr="00536763" w:rsidRDefault="005E6B1F" w:rsidP="000B6454">
            <w:pPr>
              <w:pStyle w:val="ICASBody"/>
            </w:pPr>
            <w:r w:rsidRPr="00536763">
              <w:t>Letter received by the firm from the client</w:t>
            </w:r>
          </w:p>
        </w:tc>
        <w:tc>
          <w:tcPr>
            <w:tcW w:w="3183" w:type="dxa"/>
          </w:tcPr>
          <w:p w14:paraId="34CB5B07" w14:textId="55455F8A" w:rsidR="005E6B1F" w:rsidRPr="00536763" w:rsidRDefault="005E6B1F" w:rsidP="000B6454">
            <w:pPr>
              <w:pStyle w:val="ICASBody"/>
            </w:pPr>
            <w:r w:rsidRPr="00536763">
              <w:t>Firm</w:t>
            </w:r>
          </w:p>
        </w:tc>
      </w:tr>
      <w:tr w:rsidR="005E6B1F" w:rsidRPr="00536763" w14:paraId="05B531E2" w14:textId="77777777" w:rsidTr="007C6C5B">
        <w:tc>
          <w:tcPr>
            <w:tcW w:w="3182" w:type="dxa"/>
            <w:vMerge/>
          </w:tcPr>
          <w:p w14:paraId="76822C2C" w14:textId="77777777" w:rsidR="005E6B1F" w:rsidRPr="00536763" w:rsidRDefault="005E6B1F" w:rsidP="000B6454">
            <w:pPr>
              <w:pStyle w:val="ICASBody"/>
            </w:pPr>
          </w:p>
        </w:tc>
        <w:tc>
          <w:tcPr>
            <w:tcW w:w="3183" w:type="dxa"/>
          </w:tcPr>
          <w:p w14:paraId="7AE58C64" w14:textId="3A504023" w:rsidR="005E6B1F" w:rsidRPr="00536763" w:rsidRDefault="005E6B1F" w:rsidP="000B6454">
            <w:pPr>
              <w:pStyle w:val="ICASBody"/>
            </w:pPr>
            <w:r w:rsidRPr="00536763">
              <w:t>File copy of letter sent by firm to the client</w:t>
            </w:r>
          </w:p>
        </w:tc>
        <w:tc>
          <w:tcPr>
            <w:tcW w:w="3183" w:type="dxa"/>
          </w:tcPr>
          <w:p w14:paraId="5347D4A2" w14:textId="0190F9B6" w:rsidR="005E6B1F" w:rsidRPr="00536763" w:rsidRDefault="00A555DA" w:rsidP="000B6454">
            <w:pPr>
              <w:pStyle w:val="ICASBody"/>
            </w:pPr>
            <w:r>
              <w:t>Firm</w:t>
            </w:r>
          </w:p>
        </w:tc>
      </w:tr>
      <w:tr w:rsidR="006B0916" w:rsidRPr="00536763" w14:paraId="402E8B25" w14:textId="77777777" w:rsidTr="007C6C5B">
        <w:tc>
          <w:tcPr>
            <w:tcW w:w="3182" w:type="dxa"/>
            <w:vMerge w:val="restart"/>
          </w:tcPr>
          <w:p w14:paraId="13475537" w14:textId="4923097F" w:rsidR="006B0916" w:rsidRPr="00536763" w:rsidRDefault="006B0916" w:rsidP="000B6454">
            <w:pPr>
              <w:pStyle w:val="ICASBody"/>
            </w:pPr>
            <w:r w:rsidRPr="00536763">
              <w:t>Communications between firms and third parties</w:t>
            </w:r>
          </w:p>
        </w:tc>
        <w:tc>
          <w:tcPr>
            <w:tcW w:w="3183" w:type="dxa"/>
          </w:tcPr>
          <w:p w14:paraId="329CD59B" w14:textId="2D2CB213" w:rsidR="006B0916" w:rsidRPr="00536763" w:rsidRDefault="006B0916" w:rsidP="000B6454">
            <w:pPr>
              <w:pStyle w:val="ICASBody"/>
            </w:pPr>
            <w:r w:rsidRPr="00536763">
              <w:t>Correspondence to and from a firm acting as agent for the client</w:t>
            </w:r>
          </w:p>
        </w:tc>
        <w:tc>
          <w:tcPr>
            <w:tcW w:w="3183" w:type="dxa"/>
          </w:tcPr>
          <w:p w14:paraId="45BB5EBE" w14:textId="654D81B5" w:rsidR="006B0916" w:rsidRPr="00536763" w:rsidRDefault="006B0916" w:rsidP="000B6454">
            <w:pPr>
              <w:pStyle w:val="ICASBody"/>
            </w:pPr>
            <w:r w:rsidRPr="00536763">
              <w:t>Client</w:t>
            </w:r>
          </w:p>
        </w:tc>
      </w:tr>
      <w:tr w:rsidR="006B0916" w:rsidRPr="00536763" w14:paraId="4C532C28" w14:textId="77777777" w:rsidTr="007C6C5B">
        <w:tc>
          <w:tcPr>
            <w:tcW w:w="3182" w:type="dxa"/>
            <w:vMerge/>
          </w:tcPr>
          <w:p w14:paraId="549CE867" w14:textId="77777777" w:rsidR="006B0916" w:rsidRPr="00536763" w:rsidRDefault="006B0916" w:rsidP="000B6454">
            <w:pPr>
              <w:pStyle w:val="ICASBody"/>
            </w:pPr>
          </w:p>
        </w:tc>
        <w:tc>
          <w:tcPr>
            <w:tcW w:w="3183" w:type="dxa"/>
          </w:tcPr>
          <w:p w14:paraId="228C88B8" w14:textId="55C29379" w:rsidR="006B0916" w:rsidRPr="00536763" w:rsidRDefault="006B0916" w:rsidP="000B6454">
            <w:pPr>
              <w:pStyle w:val="ICASBody"/>
            </w:pPr>
            <w:r w:rsidRPr="00536763">
              <w:t>Correspondence to and from a firm for the purpose of obtaining specialist advice for the client</w:t>
            </w:r>
          </w:p>
        </w:tc>
        <w:tc>
          <w:tcPr>
            <w:tcW w:w="3183" w:type="dxa"/>
          </w:tcPr>
          <w:p w14:paraId="0465B165" w14:textId="5B43A97E" w:rsidR="006B0916" w:rsidRPr="00536763" w:rsidRDefault="006B0916" w:rsidP="000B6454">
            <w:pPr>
              <w:pStyle w:val="ICASBody"/>
            </w:pPr>
            <w:r w:rsidRPr="00536763">
              <w:t>Client</w:t>
            </w:r>
          </w:p>
        </w:tc>
      </w:tr>
      <w:tr w:rsidR="006B0916" w:rsidRPr="00536763" w14:paraId="47DECDC1" w14:textId="77777777" w:rsidTr="007C6C5B">
        <w:tc>
          <w:tcPr>
            <w:tcW w:w="3182" w:type="dxa"/>
            <w:vMerge/>
          </w:tcPr>
          <w:p w14:paraId="05EE0EC8" w14:textId="77777777" w:rsidR="006B0916" w:rsidRPr="00536763" w:rsidRDefault="006B0916" w:rsidP="000B6454">
            <w:pPr>
              <w:pStyle w:val="ICASBody"/>
            </w:pPr>
          </w:p>
        </w:tc>
        <w:tc>
          <w:tcPr>
            <w:tcW w:w="3183" w:type="dxa"/>
          </w:tcPr>
          <w:p w14:paraId="18B9C0A3" w14:textId="6E4EBFE9" w:rsidR="006B0916" w:rsidRPr="00536763" w:rsidRDefault="006B0916" w:rsidP="000B6454">
            <w:pPr>
              <w:pStyle w:val="ICASBody"/>
            </w:pPr>
            <w:r w:rsidRPr="00536763">
              <w:t>Correspondence to and from a firm acting as principal</w:t>
            </w:r>
          </w:p>
        </w:tc>
        <w:tc>
          <w:tcPr>
            <w:tcW w:w="3183" w:type="dxa"/>
          </w:tcPr>
          <w:p w14:paraId="291FE69D" w14:textId="31C87689" w:rsidR="006B0916" w:rsidRPr="00536763" w:rsidRDefault="00A7749C" w:rsidP="000B6454">
            <w:pPr>
              <w:pStyle w:val="ICASBody"/>
            </w:pPr>
            <w:r>
              <w:t>Firm</w:t>
            </w:r>
          </w:p>
        </w:tc>
      </w:tr>
      <w:tr w:rsidR="006B0916" w:rsidRPr="00536763" w14:paraId="52F2F83E" w14:textId="77777777" w:rsidTr="007C6C5B">
        <w:tc>
          <w:tcPr>
            <w:tcW w:w="3182" w:type="dxa"/>
            <w:vMerge w:val="restart"/>
          </w:tcPr>
          <w:p w14:paraId="1174BE1F" w14:textId="006489A2" w:rsidR="006B0916" w:rsidRPr="00536763" w:rsidRDefault="006B0916" w:rsidP="000B6454">
            <w:pPr>
              <w:pStyle w:val="ICASBody"/>
            </w:pPr>
            <w:r w:rsidRPr="00536763">
              <w:t>Internal file notes</w:t>
            </w:r>
          </w:p>
        </w:tc>
        <w:tc>
          <w:tcPr>
            <w:tcW w:w="3183" w:type="dxa"/>
          </w:tcPr>
          <w:p w14:paraId="46AE66FB" w14:textId="6C89C0B1" w:rsidR="006B0916" w:rsidRPr="00536763" w:rsidRDefault="006B0916" w:rsidP="000B6454">
            <w:pPr>
              <w:pStyle w:val="ICASBody"/>
            </w:pPr>
            <w:r w:rsidRPr="00536763">
              <w:t>File notes made where member is acting as agent (</w:t>
            </w:r>
            <w:r w:rsidR="003E4E68" w:rsidRPr="00536763">
              <w:t>e.g.</w:t>
            </w:r>
            <w:r w:rsidRPr="00536763">
              <w:t xml:space="preserve"> tax compliance work)</w:t>
            </w:r>
          </w:p>
        </w:tc>
        <w:tc>
          <w:tcPr>
            <w:tcW w:w="3183" w:type="dxa"/>
          </w:tcPr>
          <w:p w14:paraId="2BB17C1C" w14:textId="39C62924" w:rsidR="006B0916" w:rsidRPr="00536763" w:rsidRDefault="006B0916" w:rsidP="000B6454">
            <w:pPr>
              <w:pStyle w:val="ICASBody"/>
            </w:pPr>
            <w:r w:rsidRPr="00536763">
              <w:t>Client</w:t>
            </w:r>
          </w:p>
        </w:tc>
      </w:tr>
      <w:tr w:rsidR="006B0916" w:rsidRPr="00536763" w14:paraId="56D96AFF" w14:textId="77777777" w:rsidTr="007C6C5B">
        <w:tc>
          <w:tcPr>
            <w:tcW w:w="3182" w:type="dxa"/>
            <w:vMerge/>
          </w:tcPr>
          <w:p w14:paraId="76EF69B1" w14:textId="77777777" w:rsidR="006B0916" w:rsidRPr="00536763" w:rsidRDefault="006B0916" w:rsidP="000B6454">
            <w:pPr>
              <w:pStyle w:val="ICASBody"/>
            </w:pPr>
          </w:p>
        </w:tc>
        <w:tc>
          <w:tcPr>
            <w:tcW w:w="3183" w:type="dxa"/>
          </w:tcPr>
          <w:p w14:paraId="59B69373" w14:textId="5065A12F" w:rsidR="006B0916" w:rsidRPr="00536763" w:rsidRDefault="006B0916" w:rsidP="000B6454">
            <w:pPr>
              <w:pStyle w:val="ICASBody"/>
            </w:pPr>
            <w:r w:rsidRPr="00536763">
              <w:t>File notes made reflected in the fees charged to client</w:t>
            </w:r>
          </w:p>
        </w:tc>
        <w:tc>
          <w:tcPr>
            <w:tcW w:w="3183" w:type="dxa"/>
          </w:tcPr>
          <w:p w14:paraId="4C438F33" w14:textId="4B50F8AF" w:rsidR="006B0916" w:rsidRPr="00536763" w:rsidRDefault="006B0916" w:rsidP="000B6454">
            <w:pPr>
              <w:pStyle w:val="ICASBody"/>
            </w:pPr>
            <w:r w:rsidRPr="00536763">
              <w:t>Client</w:t>
            </w:r>
          </w:p>
        </w:tc>
      </w:tr>
      <w:tr w:rsidR="006B0916" w:rsidRPr="00536763" w14:paraId="4B457802" w14:textId="77777777" w:rsidTr="007C6C5B">
        <w:tc>
          <w:tcPr>
            <w:tcW w:w="3182" w:type="dxa"/>
            <w:vMerge/>
          </w:tcPr>
          <w:p w14:paraId="126D3F5B" w14:textId="77777777" w:rsidR="006B0916" w:rsidRPr="00536763" w:rsidRDefault="006B0916" w:rsidP="000B6454">
            <w:pPr>
              <w:pStyle w:val="ICASBody"/>
            </w:pPr>
          </w:p>
        </w:tc>
        <w:tc>
          <w:tcPr>
            <w:tcW w:w="3183" w:type="dxa"/>
          </w:tcPr>
          <w:p w14:paraId="0424436E" w14:textId="568C9EF3" w:rsidR="006B0916" w:rsidRPr="00536763" w:rsidRDefault="006B0916" w:rsidP="000B6454">
            <w:pPr>
              <w:pStyle w:val="ICASBody"/>
            </w:pPr>
            <w:r w:rsidRPr="00536763">
              <w:t>File notes made other than in relation to work done for the client</w:t>
            </w:r>
          </w:p>
        </w:tc>
        <w:tc>
          <w:tcPr>
            <w:tcW w:w="3183" w:type="dxa"/>
          </w:tcPr>
          <w:p w14:paraId="7E3B7D5E" w14:textId="6324EEAA" w:rsidR="006B0916" w:rsidRPr="00536763" w:rsidRDefault="006B0916" w:rsidP="000B6454">
            <w:pPr>
              <w:pStyle w:val="ICASBody"/>
            </w:pPr>
            <w:r w:rsidRPr="00536763">
              <w:t>Firm</w:t>
            </w:r>
          </w:p>
        </w:tc>
      </w:tr>
      <w:tr w:rsidR="006B0916" w:rsidRPr="00536763" w14:paraId="0D4E0BA5" w14:textId="77777777" w:rsidTr="00720886">
        <w:tc>
          <w:tcPr>
            <w:tcW w:w="3182" w:type="dxa"/>
            <w:vMerge/>
            <w:tcBorders>
              <w:bottom w:val="single" w:sz="4" w:space="0" w:color="auto"/>
            </w:tcBorders>
          </w:tcPr>
          <w:p w14:paraId="06E77411" w14:textId="77777777" w:rsidR="006B0916" w:rsidRPr="00536763" w:rsidRDefault="006B0916" w:rsidP="000B6454">
            <w:pPr>
              <w:pStyle w:val="ICASBody"/>
            </w:pPr>
          </w:p>
        </w:tc>
        <w:tc>
          <w:tcPr>
            <w:tcW w:w="3183" w:type="dxa"/>
            <w:tcBorders>
              <w:bottom w:val="single" w:sz="4" w:space="0" w:color="auto"/>
            </w:tcBorders>
          </w:tcPr>
          <w:p w14:paraId="785C563C" w14:textId="57C1BE0E" w:rsidR="006B0916" w:rsidRPr="00536763" w:rsidRDefault="006B0916" w:rsidP="000B6454">
            <w:pPr>
              <w:pStyle w:val="ICASBody"/>
            </w:pPr>
            <w:r w:rsidRPr="00536763">
              <w:t>File notes made where firm is acting as principal</w:t>
            </w:r>
          </w:p>
        </w:tc>
        <w:tc>
          <w:tcPr>
            <w:tcW w:w="3183" w:type="dxa"/>
            <w:tcBorders>
              <w:bottom w:val="single" w:sz="4" w:space="0" w:color="auto"/>
            </w:tcBorders>
          </w:tcPr>
          <w:p w14:paraId="0965467E" w14:textId="431B30D6" w:rsidR="006B0916" w:rsidRPr="00536763" w:rsidRDefault="006B0916" w:rsidP="000B6454">
            <w:pPr>
              <w:pStyle w:val="ICASBody"/>
            </w:pPr>
            <w:r w:rsidRPr="00536763">
              <w:t>Firm</w:t>
            </w:r>
          </w:p>
        </w:tc>
      </w:tr>
      <w:tr w:rsidR="00720886" w:rsidRPr="00536763" w14:paraId="579BEACF" w14:textId="77777777" w:rsidTr="00720886">
        <w:tc>
          <w:tcPr>
            <w:tcW w:w="9548" w:type="dxa"/>
            <w:gridSpan w:val="3"/>
            <w:shd w:val="clear" w:color="auto" w:fill="D9D9D9" w:themeFill="background1" w:themeFillShade="D9"/>
          </w:tcPr>
          <w:p w14:paraId="4F505363" w14:textId="03165D0A" w:rsidR="00720886" w:rsidRPr="00536763" w:rsidRDefault="00720886" w:rsidP="000B6454">
            <w:pPr>
              <w:pStyle w:val="ICASBody"/>
            </w:pPr>
            <w:r w:rsidRPr="00536763">
              <w:rPr>
                <w:b/>
                <w:bCs/>
              </w:rPr>
              <w:t>Audit</w:t>
            </w:r>
          </w:p>
        </w:tc>
      </w:tr>
      <w:tr w:rsidR="00D47623" w:rsidRPr="00536763" w14:paraId="679DC449" w14:textId="77777777" w:rsidTr="007C6C5B">
        <w:tc>
          <w:tcPr>
            <w:tcW w:w="3182" w:type="dxa"/>
            <w:vMerge w:val="restart"/>
          </w:tcPr>
          <w:p w14:paraId="0A048DB5" w14:textId="3ABB1211" w:rsidR="00D47623" w:rsidRPr="00536763" w:rsidRDefault="00D47623" w:rsidP="000B6454">
            <w:pPr>
              <w:pStyle w:val="ICASBody"/>
            </w:pPr>
            <w:r w:rsidRPr="00536763">
              <w:t>Preparation of audit report whether carried out under statutory provisions or not</w:t>
            </w:r>
          </w:p>
        </w:tc>
        <w:tc>
          <w:tcPr>
            <w:tcW w:w="3183" w:type="dxa"/>
          </w:tcPr>
          <w:p w14:paraId="6BBD131F" w14:textId="1D40F209" w:rsidR="00D47623" w:rsidRPr="00536763" w:rsidRDefault="00D47623" w:rsidP="00C77374">
            <w:pPr>
              <w:pStyle w:val="ICASBody"/>
            </w:pPr>
            <w:r w:rsidRPr="00536763">
              <w:t>Any documents prepared by</w:t>
            </w:r>
            <w:r w:rsidR="00C77374">
              <w:t xml:space="preserve"> </w:t>
            </w:r>
            <w:r w:rsidRPr="00536763">
              <w:t>member solely for purpose of</w:t>
            </w:r>
            <w:r w:rsidR="00C77374">
              <w:t xml:space="preserve"> </w:t>
            </w:r>
            <w:r w:rsidRPr="00536763">
              <w:t>carrying out his duties as auditor</w:t>
            </w:r>
          </w:p>
        </w:tc>
        <w:tc>
          <w:tcPr>
            <w:tcW w:w="3183" w:type="dxa"/>
          </w:tcPr>
          <w:p w14:paraId="4F937935" w14:textId="03FFBEEF" w:rsidR="00D47623" w:rsidRPr="00536763" w:rsidRDefault="00D47623" w:rsidP="000B6454">
            <w:pPr>
              <w:pStyle w:val="ICASBody"/>
            </w:pPr>
            <w:r w:rsidRPr="00536763">
              <w:t>Firm</w:t>
            </w:r>
          </w:p>
        </w:tc>
      </w:tr>
      <w:tr w:rsidR="00D47623" w:rsidRPr="00536763" w14:paraId="4DBF7C35" w14:textId="77777777" w:rsidTr="00720886">
        <w:tc>
          <w:tcPr>
            <w:tcW w:w="3182" w:type="dxa"/>
            <w:vMerge/>
            <w:tcBorders>
              <w:bottom w:val="single" w:sz="4" w:space="0" w:color="auto"/>
            </w:tcBorders>
          </w:tcPr>
          <w:p w14:paraId="35A8F452" w14:textId="77777777" w:rsidR="00D47623" w:rsidRPr="00536763" w:rsidRDefault="00D47623" w:rsidP="000B6454">
            <w:pPr>
              <w:pStyle w:val="ICASBody"/>
            </w:pPr>
          </w:p>
        </w:tc>
        <w:tc>
          <w:tcPr>
            <w:tcW w:w="3183" w:type="dxa"/>
            <w:tcBorders>
              <w:bottom w:val="single" w:sz="4" w:space="0" w:color="auto"/>
            </w:tcBorders>
          </w:tcPr>
          <w:p w14:paraId="2DB1CDD9" w14:textId="4DEFAE1B" w:rsidR="00D47623" w:rsidRPr="00536763" w:rsidRDefault="00D47623" w:rsidP="000B6454">
            <w:pPr>
              <w:pStyle w:val="ICASBody"/>
            </w:pPr>
            <w:r w:rsidRPr="00536763">
              <w:t>Audit report</w:t>
            </w:r>
          </w:p>
        </w:tc>
        <w:tc>
          <w:tcPr>
            <w:tcW w:w="3183" w:type="dxa"/>
            <w:tcBorders>
              <w:bottom w:val="single" w:sz="4" w:space="0" w:color="auto"/>
            </w:tcBorders>
          </w:tcPr>
          <w:p w14:paraId="1932D26E" w14:textId="5B570CE7" w:rsidR="00D47623" w:rsidRPr="00536763" w:rsidRDefault="00D47623" w:rsidP="000B6454">
            <w:pPr>
              <w:pStyle w:val="ICASBody"/>
            </w:pPr>
            <w:r w:rsidRPr="00536763">
              <w:t>Client</w:t>
            </w:r>
          </w:p>
        </w:tc>
      </w:tr>
    </w:tbl>
    <w:p w14:paraId="186BD3DE" w14:textId="77777777" w:rsidR="000B6454" w:rsidRDefault="000B6454">
      <w:r>
        <w:br w:type="page"/>
      </w:r>
    </w:p>
    <w:p w14:paraId="15FB5A1F" w14:textId="77777777" w:rsidR="00205136" w:rsidRDefault="00205136"/>
    <w:tbl>
      <w:tblPr>
        <w:tblStyle w:val="TableGrid"/>
        <w:tblW w:w="0" w:type="auto"/>
        <w:tblLook w:val="04A0" w:firstRow="1" w:lastRow="0" w:firstColumn="1" w:lastColumn="0" w:noHBand="0" w:noVBand="1"/>
      </w:tblPr>
      <w:tblGrid>
        <w:gridCol w:w="3182"/>
        <w:gridCol w:w="3183"/>
        <w:gridCol w:w="3183"/>
      </w:tblGrid>
      <w:tr w:rsidR="000B6454" w:rsidRPr="00536763" w14:paraId="589A0244" w14:textId="77777777" w:rsidTr="007C6C5B">
        <w:tc>
          <w:tcPr>
            <w:tcW w:w="3182" w:type="dxa"/>
          </w:tcPr>
          <w:p w14:paraId="05CA8D8D" w14:textId="2563FFDF" w:rsidR="000B6454" w:rsidRPr="00536763" w:rsidRDefault="000B6454" w:rsidP="000B6454">
            <w:pPr>
              <w:pStyle w:val="ICASBody"/>
            </w:pPr>
            <w:r w:rsidRPr="00536763">
              <w:rPr>
                <w:b/>
                <w:bCs/>
              </w:rPr>
              <w:t>Scenario</w:t>
            </w:r>
          </w:p>
        </w:tc>
        <w:tc>
          <w:tcPr>
            <w:tcW w:w="3183" w:type="dxa"/>
          </w:tcPr>
          <w:p w14:paraId="46A4FE0A" w14:textId="085BC550" w:rsidR="000B6454" w:rsidRPr="00536763" w:rsidRDefault="000B6454" w:rsidP="000B6454">
            <w:pPr>
              <w:pStyle w:val="ICASBody"/>
            </w:pPr>
            <w:r w:rsidRPr="00536763">
              <w:rPr>
                <w:b/>
                <w:bCs/>
              </w:rPr>
              <w:t>Type of document</w:t>
            </w:r>
          </w:p>
        </w:tc>
        <w:tc>
          <w:tcPr>
            <w:tcW w:w="3183" w:type="dxa"/>
          </w:tcPr>
          <w:p w14:paraId="42B298BA" w14:textId="43AD437D" w:rsidR="000B6454" w:rsidRPr="00536763" w:rsidRDefault="000B6454" w:rsidP="000B6454">
            <w:pPr>
              <w:pStyle w:val="ICASBody"/>
            </w:pPr>
            <w:r w:rsidRPr="00536763">
              <w:rPr>
                <w:b/>
                <w:bCs/>
              </w:rPr>
              <w:t>Ownership</w:t>
            </w:r>
          </w:p>
        </w:tc>
      </w:tr>
      <w:tr w:rsidR="000B6454" w:rsidRPr="00536763" w14:paraId="2644B016" w14:textId="77777777" w:rsidTr="00205136">
        <w:tc>
          <w:tcPr>
            <w:tcW w:w="9548" w:type="dxa"/>
            <w:gridSpan w:val="3"/>
            <w:shd w:val="clear" w:color="auto" w:fill="D9D9D9" w:themeFill="background1" w:themeFillShade="D9"/>
          </w:tcPr>
          <w:p w14:paraId="65F94122" w14:textId="2E1859D6" w:rsidR="000B6454" w:rsidRPr="00536763" w:rsidRDefault="000B6454" w:rsidP="000B6454">
            <w:pPr>
              <w:pStyle w:val="ICASBody"/>
            </w:pPr>
            <w:r w:rsidRPr="00536763">
              <w:rPr>
                <w:b/>
                <w:bCs/>
              </w:rPr>
              <w:t>Accounting services</w:t>
            </w:r>
          </w:p>
        </w:tc>
      </w:tr>
      <w:tr w:rsidR="000B6454" w:rsidRPr="00536763" w14:paraId="4CBA81B1" w14:textId="77777777" w:rsidTr="007C6C5B">
        <w:tc>
          <w:tcPr>
            <w:tcW w:w="3182" w:type="dxa"/>
          </w:tcPr>
          <w:p w14:paraId="3C585811" w14:textId="59B2274B" w:rsidR="000B6454" w:rsidRPr="00536763" w:rsidRDefault="000B6454" w:rsidP="000B6454">
            <w:pPr>
              <w:pStyle w:val="ICASBody"/>
            </w:pPr>
            <w:r w:rsidRPr="00536763">
              <w:t>Preparation of accounting records</w:t>
            </w:r>
          </w:p>
        </w:tc>
        <w:tc>
          <w:tcPr>
            <w:tcW w:w="3183" w:type="dxa"/>
          </w:tcPr>
          <w:p w14:paraId="243767D5" w14:textId="162A21AF" w:rsidR="000B6454" w:rsidRPr="00536763" w:rsidRDefault="000B6454" w:rsidP="000B6454">
            <w:pPr>
              <w:pStyle w:val="ICASBody"/>
            </w:pPr>
            <w:r w:rsidRPr="00536763">
              <w:t>Accounting records</w:t>
            </w:r>
          </w:p>
        </w:tc>
        <w:tc>
          <w:tcPr>
            <w:tcW w:w="3183" w:type="dxa"/>
          </w:tcPr>
          <w:p w14:paraId="7C97202E" w14:textId="0DE2523B" w:rsidR="000B6454" w:rsidRPr="00536763" w:rsidRDefault="000B6454" w:rsidP="000B6454">
            <w:pPr>
              <w:pStyle w:val="ICASBody"/>
            </w:pPr>
            <w:r w:rsidRPr="00536763">
              <w:t>Client</w:t>
            </w:r>
          </w:p>
        </w:tc>
      </w:tr>
      <w:tr w:rsidR="000B6454" w:rsidRPr="00536763" w14:paraId="3550CAF2" w14:textId="77777777" w:rsidTr="007C6C5B">
        <w:tc>
          <w:tcPr>
            <w:tcW w:w="3182" w:type="dxa"/>
            <w:vMerge w:val="restart"/>
          </w:tcPr>
          <w:p w14:paraId="2A0E3C3E" w14:textId="79669377" w:rsidR="000B6454" w:rsidRPr="00536763" w:rsidRDefault="000B6454" w:rsidP="000B6454">
            <w:pPr>
              <w:pStyle w:val="ICASBody"/>
            </w:pPr>
            <w:r w:rsidRPr="00536763">
              <w:t>Preparation of financial statements (including management accounts) from client’s records</w:t>
            </w:r>
          </w:p>
        </w:tc>
        <w:tc>
          <w:tcPr>
            <w:tcW w:w="3183" w:type="dxa"/>
          </w:tcPr>
          <w:p w14:paraId="7F29E14C" w14:textId="5574052D" w:rsidR="000B6454" w:rsidRPr="00536763" w:rsidRDefault="000B6454" w:rsidP="000B6454">
            <w:pPr>
              <w:pStyle w:val="ICASBody"/>
            </w:pPr>
            <w:r w:rsidRPr="00536763">
              <w:t>Financial statements</w:t>
            </w:r>
          </w:p>
        </w:tc>
        <w:tc>
          <w:tcPr>
            <w:tcW w:w="3183" w:type="dxa"/>
          </w:tcPr>
          <w:p w14:paraId="04B52B75" w14:textId="4B58673D" w:rsidR="000B6454" w:rsidRPr="00536763" w:rsidRDefault="000B6454" w:rsidP="000B6454">
            <w:pPr>
              <w:pStyle w:val="ICASBody"/>
            </w:pPr>
            <w:r w:rsidRPr="00536763">
              <w:t>Client</w:t>
            </w:r>
          </w:p>
        </w:tc>
      </w:tr>
      <w:tr w:rsidR="000B6454" w:rsidRPr="00536763" w14:paraId="09705C6F" w14:textId="77777777" w:rsidTr="007C6C5B">
        <w:tc>
          <w:tcPr>
            <w:tcW w:w="3182" w:type="dxa"/>
            <w:vMerge/>
          </w:tcPr>
          <w:p w14:paraId="3F2CFF4E" w14:textId="77777777" w:rsidR="000B6454" w:rsidRPr="00536763" w:rsidRDefault="000B6454" w:rsidP="000B6454">
            <w:pPr>
              <w:pStyle w:val="ICASBody"/>
            </w:pPr>
          </w:p>
        </w:tc>
        <w:tc>
          <w:tcPr>
            <w:tcW w:w="3183" w:type="dxa"/>
          </w:tcPr>
          <w:p w14:paraId="3C4B369E" w14:textId="7303A2FC" w:rsidR="000B6454" w:rsidRPr="00536763" w:rsidRDefault="000B6454" w:rsidP="000B6454">
            <w:pPr>
              <w:pStyle w:val="ICASBody"/>
            </w:pPr>
            <w:r w:rsidRPr="00536763">
              <w:t>Draft/office copies of financial statements</w:t>
            </w:r>
          </w:p>
        </w:tc>
        <w:tc>
          <w:tcPr>
            <w:tcW w:w="3183" w:type="dxa"/>
          </w:tcPr>
          <w:p w14:paraId="2C7B18BA" w14:textId="1EF3DB1E" w:rsidR="000B6454" w:rsidRPr="00536763" w:rsidRDefault="000B6454" w:rsidP="000B6454">
            <w:pPr>
              <w:pStyle w:val="ICASBody"/>
            </w:pPr>
            <w:r w:rsidRPr="00536763">
              <w:t>Firm</w:t>
            </w:r>
          </w:p>
        </w:tc>
      </w:tr>
      <w:tr w:rsidR="000B6454" w:rsidRPr="00536763" w14:paraId="0C76951B" w14:textId="77777777" w:rsidTr="007C6C5B">
        <w:tc>
          <w:tcPr>
            <w:tcW w:w="3182" w:type="dxa"/>
            <w:vMerge w:val="restart"/>
          </w:tcPr>
          <w:p w14:paraId="3696BF07" w14:textId="4CD51AD4" w:rsidR="000B6454" w:rsidRPr="00536763" w:rsidRDefault="000B6454" w:rsidP="000B6454">
            <w:pPr>
              <w:pStyle w:val="ICASBody"/>
            </w:pPr>
            <w:r w:rsidRPr="00536763">
              <w:t>Preparation of financial statements (including management accounts) from incomplete records where not instructed by client to work from those records</w:t>
            </w:r>
          </w:p>
        </w:tc>
        <w:tc>
          <w:tcPr>
            <w:tcW w:w="3183" w:type="dxa"/>
          </w:tcPr>
          <w:p w14:paraId="502B4BEE" w14:textId="79BE1A34" w:rsidR="000B6454" w:rsidRPr="00536763" w:rsidRDefault="000B6454" w:rsidP="000B6454">
            <w:pPr>
              <w:pStyle w:val="ICASBody"/>
            </w:pPr>
            <w:r w:rsidRPr="00536763">
              <w:t>Schedules</w:t>
            </w:r>
          </w:p>
        </w:tc>
        <w:tc>
          <w:tcPr>
            <w:tcW w:w="3183" w:type="dxa"/>
          </w:tcPr>
          <w:p w14:paraId="280CC1E1" w14:textId="32787698" w:rsidR="000B6454" w:rsidRPr="00536763" w:rsidRDefault="000B6454" w:rsidP="000B6454">
            <w:pPr>
              <w:pStyle w:val="ICASBody"/>
            </w:pPr>
            <w:r w:rsidRPr="00536763">
              <w:t>Firm</w:t>
            </w:r>
          </w:p>
        </w:tc>
      </w:tr>
      <w:tr w:rsidR="000B6454" w:rsidRPr="00536763" w14:paraId="1BBF04B7" w14:textId="77777777" w:rsidTr="007C6C5B">
        <w:tc>
          <w:tcPr>
            <w:tcW w:w="3182" w:type="dxa"/>
            <w:vMerge/>
          </w:tcPr>
          <w:p w14:paraId="6F07AADA" w14:textId="77777777" w:rsidR="000B6454" w:rsidRPr="00536763" w:rsidRDefault="000B6454" w:rsidP="000B6454">
            <w:pPr>
              <w:pStyle w:val="ICASBody"/>
            </w:pPr>
          </w:p>
        </w:tc>
        <w:tc>
          <w:tcPr>
            <w:tcW w:w="3183" w:type="dxa"/>
          </w:tcPr>
          <w:p w14:paraId="1432501B" w14:textId="53BE1AD4" w:rsidR="000B6454" w:rsidRPr="00536763" w:rsidRDefault="000B6454" w:rsidP="000B6454">
            <w:pPr>
              <w:pStyle w:val="ICASBody"/>
            </w:pPr>
            <w:r w:rsidRPr="00536763">
              <w:t>Financial statements</w:t>
            </w:r>
          </w:p>
        </w:tc>
        <w:tc>
          <w:tcPr>
            <w:tcW w:w="3183" w:type="dxa"/>
          </w:tcPr>
          <w:p w14:paraId="6937C64A" w14:textId="3E3D81D9" w:rsidR="000B6454" w:rsidRPr="00536763" w:rsidRDefault="000B6454" w:rsidP="000B6454">
            <w:pPr>
              <w:pStyle w:val="ICASBody"/>
            </w:pPr>
            <w:r w:rsidRPr="00536763">
              <w:t>Client</w:t>
            </w:r>
          </w:p>
        </w:tc>
      </w:tr>
      <w:tr w:rsidR="000B6454" w:rsidRPr="00536763" w14:paraId="57AAB5E2" w14:textId="77777777" w:rsidTr="007C6C5B">
        <w:tc>
          <w:tcPr>
            <w:tcW w:w="3182" w:type="dxa"/>
            <w:vMerge w:val="restart"/>
          </w:tcPr>
          <w:p w14:paraId="0008B0E7" w14:textId="5C34EB44" w:rsidR="000B6454" w:rsidRPr="00536763" w:rsidRDefault="000B6454" w:rsidP="000B6454">
            <w:pPr>
              <w:pStyle w:val="ICASBody"/>
            </w:pPr>
            <w:r w:rsidRPr="00536763">
              <w:t>Analysis of banking accounts prepared by member</w:t>
            </w:r>
          </w:p>
        </w:tc>
        <w:tc>
          <w:tcPr>
            <w:tcW w:w="3183" w:type="dxa"/>
          </w:tcPr>
          <w:p w14:paraId="68773661" w14:textId="7B2E29D4" w:rsidR="000B6454" w:rsidRPr="00536763" w:rsidRDefault="000B6454" w:rsidP="000B6454">
            <w:pPr>
              <w:pStyle w:val="ICASBody"/>
            </w:pPr>
            <w:r w:rsidRPr="00536763">
              <w:t>Reports, memos, or notes</w:t>
            </w:r>
          </w:p>
        </w:tc>
        <w:tc>
          <w:tcPr>
            <w:tcW w:w="3183" w:type="dxa"/>
          </w:tcPr>
          <w:p w14:paraId="406E0460" w14:textId="0FE8FCB6" w:rsidR="000B6454" w:rsidRPr="00536763" w:rsidRDefault="000B6454" w:rsidP="000B6454">
            <w:pPr>
              <w:pStyle w:val="ICASBody"/>
            </w:pPr>
            <w:r w:rsidRPr="00536763">
              <w:t>Client</w:t>
            </w:r>
          </w:p>
        </w:tc>
      </w:tr>
      <w:tr w:rsidR="000B6454" w:rsidRPr="00536763" w14:paraId="43824190" w14:textId="77777777" w:rsidTr="007C6C5B">
        <w:tc>
          <w:tcPr>
            <w:tcW w:w="3182" w:type="dxa"/>
            <w:vMerge/>
          </w:tcPr>
          <w:p w14:paraId="4B10853A" w14:textId="77777777" w:rsidR="000B6454" w:rsidRPr="00536763" w:rsidRDefault="000B6454" w:rsidP="000B6454">
            <w:pPr>
              <w:pStyle w:val="ICASBody"/>
            </w:pPr>
          </w:p>
        </w:tc>
        <w:tc>
          <w:tcPr>
            <w:tcW w:w="3183" w:type="dxa"/>
          </w:tcPr>
          <w:p w14:paraId="53D3F203" w14:textId="6DF8A4E5" w:rsidR="000B6454" w:rsidRPr="00536763" w:rsidRDefault="000B6454" w:rsidP="000B6454">
            <w:pPr>
              <w:pStyle w:val="ICASBody"/>
            </w:pPr>
            <w:r w:rsidRPr="00536763">
              <w:t>Drafts of above</w:t>
            </w:r>
          </w:p>
        </w:tc>
        <w:tc>
          <w:tcPr>
            <w:tcW w:w="3183" w:type="dxa"/>
          </w:tcPr>
          <w:p w14:paraId="04F8452B" w14:textId="2913F53D" w:rsidR="000B6454" w:rsidRPr="00536763" w:rsidRDefault="000B6454" w:rsidP="000B6454">
            <w:pPr>
              <w:pStyle w:val="ICASBody"/>
            </w:pPr>
            <w:r w:rsidRPr="00536763">
              <w:t>Firm</w:t>
            </w:r>
          </w:p>
        </w:tc>
      </w:tr>
      <w:tr w:rsidR="000B6454" w:rsidRPr="00536763" w14:paraId="02A97356" w14:textId="77777777" w:rsidTr="007C6C5B">
        <w:tc>
          <w:tcPr>
            <w:tcW w:w="3182" w:type="dxa"/>
            <w:vMerge w:val="restart"/>
          </w:tcPr>
          <w:p w14:paraId="417FE6F4" w14:textId="515EDE52" w:rsidR="000B6454" w:rsidRPr="00536763" w:rsidRDefault="000B6454" w:rsidP="000B6454">
            <w:pPr>
              <w:pStyle w:val="ICASBody"/>
            </w:pPr>
            <w:r w:rsidRPr="00536763">
              <w:t>Other accountancy</w:t>
            </w:r>
          </w:p>
        </w:tc>
        <w:tc>
          <w:tcPr>
            <w:tcW w:w="3183" w:type="dxa"/>
          </w:tcPr>
          <w:p w14:paraId="62CBEA2B" w14:textId="414A7323" w:rsidR="000B6454" w:rsidRPr="00536763" w:rsidRDefault="000B6454" w:rsidP="000B6454">
            <w:pPr>
              <w:pStyle w:val="ICASBody"/>
            </w:pPr>
            <w:r w:rsidRPr="00536763">
              <w:t>Records prepared by the member which are required by law to be kept by the client</w:t>
            </w:r>
          </w:p>
        </w:tc>
        <w:tc>
          <w:tcPr>
            <w:tcW w:w="3183" w:type="dxa"/>
          </w:tcPr>
          <w:p w14:paraId="43E3510F" w14:textId="4503AD6F" w:rsidR="000B6454" w:rsidRPr="00536763" w:rsidRDefault="000B6454" w:rsidP="000B6454">
            <w:pPr>
              <w:pStyle w:val="ICASBody"/>
            </w:pPr>
            <w:r w:rsidRPr="00536763">
              <w:t>Client</w:t>
            </w:r>
          </w:p>
        </w:tc>
      </w:tr>
      <w:tr w:rsidR="000B6454" w:rsidRPr="00536763" w14:paraId="46CFCB51" w14:textId="77777777" w:rsidTr="00272EB8">
        <w:tc>
          <w:tcPr>
            <w:tcW w:w="3182" w:type="dxa"/>
            <w:vMerge/>
            <w:tcBorders>
              <w:bottom w:val="single" w:sz="4" w:space="0" w:color="auto"/>
            </w:tcBorders>
          </w:tcPr>
          <w:p w14:paraId="7F26832B" w14:textId="77777777" w:rsidR="000B6454" w:rsidRPr="00536763" w:rsidRDefault="000B6454" w:rsidP="000B6454">
            <w:pPr>
              <w:pStyle w:val="ICASBody"/>
            </w:pPr>
          </w:p>
        </w:tc>
        <w:tc>
          <w:tcPr>
            <w:tcW w:w="3183" w:type="dxa"/>
            <w:tcBorders>
              <w:bottom w:val="single" w:sz="4" w:space="0" w:color="auto"/>
            </w:tcBorders>
          </w:tcPr>
          <w:p w14:paraId="038304C8" w14:textId="68CB965E" w:rsidR="000B6454" w:rsidRPr="00536763" w:rsidRDefault="000B6454" w:rsidP="000B6454">
            <w:pPr>
              <w:pStyle w:val="ICASBody"/>
            </w:pPr>
            <w:r w:rsidRPr="00536763">
              <w:t>File copies of any documents including drafts</w:t>
            </w:r>
          </w:p>
        </w:tc>
        <w:tc>
          <w:tcPr>
            <w:tcW w:w="3183" w:type="dxa"/>
            <w:tcBorders>
              <w:bottom w:val="single" w:sz="4" w:space="0" w:color="auto"/>
            </w:tcBorders>
          </w:tcPr>
          <w:p w14:paraId="545B1F62" w14:textId="364F3FC2" w:rsidR="000B6454" w:rsidRPr="00536763" w:rsidRDefault="000B6454" w:rsidP="000B6454">
            <w:pPr>
              <w:pStyle w:val="ICASBody"/>
            </w:pPr>
            <w:r w:rsidRPr="00536763">
              <w:t>Firm</w:t>
            </w:r>
          </w:p>
        </w:tc>
      </w:tr>
      <w:tr w:rsidR="000B6454" w:rsidRPr="00536763" w14:paraId="39C9E2CD" w14:textId="77777777" w:rsidTr="00272EB8">
        <w:tc>
          <w:tcPr>
            <w:tcW w:w="9548" w:type="dxa"/>
            <w:gridSpan w:val="3"/>
            <w:shd w:val="clear" w:color="auto" w:fill="D9D9D9" w:themeFill="background1" w:themeFillShade="D9"/>
          </w:tcPr>
          <w:p w14:paraId="248C69F7" w14:textId="5F4C8395" w:rsidR="000B6454" w:rsidRPr="00536763" w:rsidRDefault="000B6454" w:rsidP="000B6454">
            <w:pPr>
              <w:pStyle w:val="ICASBody"/>
              <w:rPr>
                <w:b/>
                <w:bCs/>
              </w:rPr>
            </w:pPr>
            <w:r w:rsidRPr="00536763">
              <w:rPr>
                <w:b/>
                <w:bCs/>
              </w:rPr>
              <w:t>Tax services</w:t>
            </w:r>
          </w:p>
        </w:tc>
      </w:tr>
      <w:tr w:rsidR="000B6454" w:rsidRPr="00536763" w14:paraId="66247170" w14:textId="77777777" w:rsidTr="007C6C5B">
        <w:tc>
          <w:tcPr>
            <w:tcW w:w="3182" w:type="dxa"/>
          </w:tcPr>
          <w:p w14:paraId="110EA38C" w14:textId="23A15885" w:rsidR="000B6454" w:rsidRPr="00536763" w:rsidRDefault="000B6454" w:rsidP="000B6454">
            <w:pPr>
              <w:pStyle w:val="ICASBody"/>
            </w:pPr>
            <w:r w:rsidRPr="00536763">
              <w:t>Preparation and submission of accounts, returns and computations or VAT returns to HM Revenue &amp; Customs (‘HMRC’) and other tax compliance work</w:t>
            </w:r>
          </w:p>
        </w:tc>
        <w:tc>
          <w:tcPr>
            <w:tcW w:w="3183" w:type="dxa"/>
          </w:tcPr>
          <w:p w14:paraId="79A4F9DD" w14:textId="33B43F0B" w:rsidR="000B6454" w:rsidRPr="00536763" w:rsidRDefault="000B6454" w:rsidP="000B6454">
            <w:pPr>
              <w:pStyle w:val="ICASBody"/>
            </w:pPr>
            <w:r w:rsidRPr="00536763">
              <w:t>Accounts, schedules and computations, correspondence between the member and HMRC in relation to the same</w:t>
            </w:r>
          </w:p>
        </w:tc>
        <w:tc>
          <w:tcPr>
            <w:tcW w:w="3183" w:type="dxa"/>
          </w:tcPr>
          <w:p w14:paraId="4912827A" w14:textId="159494E3" w:rsidR="000B6454" w:rsidRPr="00536763" w:rsidRDefault="000B6454" w:rsidP="000B6454">
            <w:pPr>
              <w:pStyle w:val="ICASBody"/>
            </w:pPr>
            <w:r w:rsidRPr="00536763">
              <w:t>Client</w:t>
            </w:r>
          </w:p>
        </w:tc>
      </w:tr>
      <w:tr w:rsidR="000B6454" w:rsidRPr="00536763" w14:paraId="17DC6AA2" w14:textId="77777777" w:rsidTr="007C6C5B">
        <w:tc>
          <w:tcPr>
            <w:tcW w:w="3182" w:type="dxa"/>
          </w:tcPr>
          <w:p w14:paraId="40CB84C0" w14:textId="6CBB2E7A" w:rsidR="000B6454" w:rsidRPr="00536763" w:rsidRDefault="000B6454" w:rsidP="000B6454">
            <w:pPr>
              <w:pStyle w:val="ICASBody"/>
            </w:pPr>
            <w:r w:rsidRPr="00536763">
              <w:t>Agreement of the client’s tax liabilities including those following an enquiry or investigation</w:t>
            </w:r>
          </w:p>
        </w:tc>
        <w:tc>
          <w:tcPr>
            <w:tcW w:w="3183" w:type="dxa"/>
          </w:tcPr>
          <w:p w14:paraId="5AB0892C" w14:textId="1C55B02D" w:rsidR="000B6454" w:rsidRPr="00536763" w:rsidRDefault="000B6454" w:rsidP="000B6454">
            <w:pPr>
              <w:pStyle w:val="ICASBody"/>
            </w:pPr>
            <w:r w:rsidRPr="00536763">
              <w:t>Any documents</w:t>
            </w:r>
          </w:p>
        </w:tc>
        <w:tc>
          <w:tcPr>
            <w:tcW w:w="3183" w:type="dxa"/>
          </w:tcPr>
          <w:p w14:paraId="418B4B81" w14:textId="0DC85AAA" w:rsidR="000B6454" w:rsidRPr="00536763" w:rsidRDefault="000B6454" w:rsidP="000B6454">
            <w:pPr>
              <w:pStyle w:val="ICASBody"/>
            </w:pPr>
            <w:r w:rsidRPr="00536763">
              <w:t>Client</w:t>
            </w:r>
          </w:p>
        </w:tc>
      </w:tr>
      <w:tr w:rsidR="000B6454" w:rsidRPr="00536763" w14:paraId="2C2ACC87" w14:textId="77777777" w:rsidTr="007C6C5B">
        <w:tc>
          <w:tcPr>
            <w:tcW w:w="3182" w:type="dxa"/>
            <w:vMerge w:val="restart"/>
          </w:tcPr>
          <w:p w14:paraId="7DF3895D" w14:textId="325E44FD" w:rsidR="000B6454" w:rsidRPr="00536763" w:rsidRDefault="000B6454" w:rsidP="000B6454">
            <w:pPr>
              <w:pStyle w:val="ICASBody"/>
            </w:pPr>
            <w:r w:rsidRPr="00536763">
              <w:t>Preparation of a report for a client to submit to HMRC in connection with an enquiry or investigation</w:t>
            </w:r>
          </w:p>
        </w:tc>
        <w:tc>
          <w:tcPr>
            <w:tcW w:w="3183" w:type="dxa"/>
          </w:tcPr>
          <w:p w14:paraId="02E99DB0" w14:textId="4991C7F6" w:rsidR="000B6454" w:rsidRPr="00536763" w:rsidRDefault="000B6454" w:rsidP="000B6454">
            <w:pPr>
              <w:pStyle w:val="ICASBody"/>
            </w:pPr>
            <w:r w:rsidRPr="00536763">
              <w:t>The report and supporting schedules</w:t>
            </w:r>
          </w:p>
        </w:tc>
        <w:tc>
          <w:tcPr>
            <w:tcW w:w="3183" w:type="dxa"/>
          </w:tcPr>
          <w:p w14:paraId="575327CD" w14:textId="5C4075A8" w:rsidR="000B6454" w:rsidRPr="00536763" w:rsidRDefault="000B6454" w:rsidP="000B6454">
            <w:pPr>
              <w:pStyle w:val="ICASBody"/>
            </w:pPr>
            <w:r w:rsidRPr="00536763">
              <w:t>Client</w:t>
            </w:r>
          </w:p>
        </w:tc>
      </w:tr>
      <w:tr w:rsidR="000B6454" w:rsidRPr="00536763" w14:paraId="4AEC50D1" w14:textId="77777777" w:rsidTr="007C6C5B">
        <w:tc>
          <w:tcPr>
            <w:tcW w:w="3182" w:type="dxa"/>
            <w:vMerge/>
          </w:tcPr>
          <w:p w14:paraId="49533B1E" w14:textId="77777777" w:rsidR="000B6454" w:rsidRPr="00536763" w:rsidRDefault="000B6454" w:rsidP="000B6454">
            <w:pPr>
              <w:pStyle w:val="ICASBody"/>
            </w:pPr>
          </w:p>
        </w:tc>
        <w:tc>
          <w:tcPr>
            <w:tcW w:w="3183" w:type="dxa"/>
          </w:tcPr>
          <w:p w14:paraId="190FCC29" w14:textId="64A2B621" w:rsidR="000B6454" w:rsidRPr="00536763" w:rsidRDefault="000B6454" w:rsidP="000B6454">
            <w:pPr>
              <w:pStyle w:val="ICASBody"/>
            </w:pPr>
            <w:r w:rsidRPr="00536763">
              <w:t>Papers used in the preparation of the report</w:t>
            </w:r>
          </w:p>
        </w:tc>
        <w:tc>
          <w:tcPr>
            <w:tcW w:w="3183" w:type="dxa"/>
          </w:tcPr>
          <w:p w14:paraId="0E1807B5" w14:textId="0E588CF8" w:rsidR="000B6454" w:rsidRPr="00536763" w:rsidRDefault="000B6454" w:rsidP="000B6454">
            <w:pPr>
              <w:pStyle w:val="ICASBody"/>
            </w:pPr>
            <w:r w:rsidRPr="00536763">
              <w:t>Client</w:t>
            </w:r>
          </w:p>
        </w:tc>
      </w:tr>
      <w:tr w:rsidR="000B6454" w:rsidRPr="00536763" w14:paraId="4788DE79" w14:textId="77777777" w:rsidTr="007C6C5B">
        <w:tc>
          <w:tcPr>
            <w:tcW w:w="3182" w:type="dxa"/>
            <w:vMerge w:val="restart"/>
          </w:tcPr>
          <w:p w14:paraId="54DCB32F" w14:textId="3472B2D9" w:rsidR="000B6454" w:rsidRPr="00536763" w:rsidRDefault="000B6454" w:rsidP="000B6454">
            <w:pPr>
              <w:pStyle w:val="ICASBody"/>
            </w:pPr>
            <w:r w:rsidRPr="00536763">
              <w:t>Provision of advice to a client on tax liabilities arising out of an enquiry or investigation</w:t>
            </w:r>
          </w:p>
        </w:tc>
        <w:tc>
          <w:tcPr>
            <w:tcW w:w="3183" w:type="dxa"/>
          </w:tcPr>
          <w:p w14:paraId="31D3029E" w14:textId="1F58D083" w:rsidR="000B6454" w:rsidRPr="00536763" w:rsidRDefault="000B6454" w:rsidP="000B6454">
            <w:pPr>
              <w:pStyle w:val="ICASBody"/>
            </w:pPr>
            <w:r w:rsidRPr="00536763">
              <w:t>The report and supporting schedules</w:t>
            </w:r>
          </w:p>
        </w:tc>
        <w:tc>
          <w:tcPr>
            <w:tcW w:w="3183" w:type="dxa"/>
          </w:tcPr>
          <w:p w14:paraId="07183A7F" w14:textId="2D43FB05" w:rsidR="000B6454" w:rsidRPr="00536763" w:rsidRDefault="000B6454" w:rsidP="000B6454">
            <w:pPr>
              <w:pStyle w:val="ICASBody"/>
            </w:pPr>
            <w:r w:rsidRPr="00536763">
              <w:t>Client</w:t>
            </w:r>
          </w:p>
        </w:tc>
      </w:tr>
      <w:tr w:rsidR="000B6454" w:rsidRPr="00536763" w14:paraId="4A9383C8" w14:textId="77777777" w:rsidTr="007C6C5B">
        <w:tc>
          <w:tcPr>
            <w:tcW w:w="3182" w:type="dxa"/>
            <w:vMerge/>
          </w:tcPr>
          <w:p w14:paraId="2D9D9BA3" w14:textId="77777777" w:rsidR="000B6454" w:rsidRPr="00536763" w:rsidRDefault="000B6454" w:rsidP="000B6454">
            <w:pPr>
              <w:pStyle w:val="ICASBody"/>
            </w:pPr>
          </w:p>
        </w:tc>
        <w:tc>
          <w:tcPr>
            <w:tcW w:w="3183" w:type="dxa"/>
          </w:tcPr>
          <w:p w14:paraId="12689A54" w14:textId="2401C8F5" w:rsidR="000B6454" w:rsidRPr="00536763" w:rsidRDefault="000B6454" w:rsidP="000B6454">
            <w:pPr>
              <w:pStyle w:val="ICASBody"/>
            </w:pPr>
            <w:r w:rsidRPr="00536763">
              <w:t>Papers used in the preparation of the report</w:t>
            </w:r>
          </w:p>
        </w:tc>
        <w:tc>
          <w:tcPr>
            <w:tcW w:w="3183" w:type="dxa"/>
          </w:tcPr>
          <w:p w14:paraId="51F54CE3" w14:textId="14569E43" w:rsidR="000B6454" w:rsidRPr="00536763" w:rsidRDefault="000B6454" w:rsidP="000B6454">
            <w:pPr>
              <w:pStyle w:val="ICASBody"/>
            </w:pPr>
            <w:r w:rsidRPr="00536763">
              <w:t>Firm</w:t>
            </w:r>
          </w:p>
        </w:tc>
      </w:tr>
    </w:tbl>
    <w:p w14:paraId="414530ED" w14:textId="77777777" w:rsidR="00B018A0" w:rsidRDefault="00B018A0">
      <w:r>
        <w:br w:type="page"/>
      </w:r>
    </w:p>
    <w:tbl>
      <w:tblPr>
        <w:tblStyle w:val="TableGrid"/>
        <w:tblW w:w="0" w:type="auto"/>
        <w:tblLook w:val="04A0" w:firstRow="1" w:lastRow="0" w:firstColumn="1" w:lastColumn="0" w:noHBand="0" w:noVBand="1"/>
      </w:tblPr>
      <w:tblGrid>
        <w:gridCol w:w="3182"/>
        <w:gridCol w:w="3183"/>
        <w:gridCol w:w="3183"/>
      </w:tblGrid>
      <w:tr w:rsidR="00FA5DDA" w:rsidRPr="00536763" w14:paraId="12245030" w14:textId="77777777" w:rsidTr="00B018A0">
        <w:trPr>
          <w:trHeight w:val="570"/>
        </w:trPr>
        <w:tc>
          <w:tcPr>
            <w:tcW w:w="3182" w:type="dxa"/>
          </w:tcPr>
          <w:p w14:paraId="6C86E502" w14:textId="3920FAE0" w:rsidR="00FA5DDA" w:rsidRPr="00536763" w:rsidRDefault="00FA5DDA" w:rsidP="00FA5DDA">
            <w:pPr>
              <w:pStyle w:val="ICASBody"/>
            </w:pPr>
            <w:r w:rsidRPr="00536763">
              <w:rPr>
                <w:b/>
                <w:bCs/>
              </w:rPr>
              <w:lastRenderedPageBreak/>
              <w:t>Scenario</w:t>
            </w:r>
          </w:p>
        </w:tc>
        <w:tc>
          <w:tcPr>
            <w:tcW w:w="3183" w:type="dxa"/>
          </w:tcPr>
          <w:p w14:paraId="0E0C6B20" w14:textId="12F6AD1D" w:rsidR="00FA5DDA" w:rsidRPr="00536763" w:rsidRDefault="00FA5DDA" w:rsidP="00FA5DDA">
            <w:pPr>
              <w:pStyle w:val="ICASBody"/>
            </w:pPr>
            <w:r w:rsidRPr="00536763">
              <w:rPr>
                <w:b/>
                <w:bCs/>
              </w:rPr>
              <w:t>Type of document</w:t>
            </w:r>
          </w:p>
        </w:tc>
        <w:tc>
          <w:tcPr>
            <w:tcW w:w="3183" w:type="dxa"/>
          </w:tcPr>
          <w:p w14:paraId="0D766599" w14:textId="1C5BF619" w:rsidR="00FA5DDA" w:rsidRPr="00536763" w:rsidRDefault="00FA5DDA" w:rsidP="00FA5DDA">
            <w:pPr>
              <w:pStyle w:val="ICASBody"/>
            </w:pPr>
            <w:r w:rsidRPr="00536763">
              <w:rPr>
                <w:b/>
                <w:bCs/>
              </w:rPr>
              <w:t>Ownership</w:t>
            </w:r>
          </w:p>
        </w:tc>
      </w:tr>
      <w:tr w:rsidR="00FA5DDA" w:rsidRPr="00536763" w14:paraId="1F3BA0E6" w14:textId="77777777" w:rsidTr="00FA5DDA">
        <w:trPr>
          <w:trHeight w:val="932"/>
        </w:trPr>
        <w:tc>
          <w:tcPr>
            <w:tcW w:w="3182" w:type="dxa"/>
            <w:vMerge w:val="restart"/>
          </w:tcPr>
          <w:p w14:paraId="68CB949B" w14:textId="3D99A745" w:rsidR="00FA5DDA" w:rsidRPr="00536763" w:rsidRDefault="00FA5DDA" w:rsidP="00FA5DDA">
            <w:pPr>
              <w:pStyle w:val="ICASBody"/>
            </w:pPr>
            <w:r w:rsidRPr="00536763">
              <w:t>Tax consulting, advice, or planning</w:t>
            </w:r>
          </w:p>
        </w:tc>
        <w:tc>
          <w:tcPr>
            <w:tcW w:w="3183" w:type="dxa"/>
          </w:tcPr>
          <w:p w14:paraId="6510F78A" w14:textId="389A3397" w:rsidR="00FA5DDA" w:rsidRPr="00536763" w:rsidRDefault="00FA5DDA" w:rsidP="00FA5DDA">
            <w:pPr>
              <w:pStyle w:val="ICASBody"/>
            </w:pPr>
            <w:r w:rsidRPr="00536763">
              <w:t>Letters, reports, or documents of advice</w:t>
            </w:r>
          </w:p>
        </w:tc>
        <w:tc>
          <w:tcPr>
            <w:tcW w:w="3183" w:type="dxa"/>
          </w:tcPr>
          <w:p w14:paraId="56F5654A" w14:textId="0EC2BF58" w:rsidR="00FA5DDA" w:rsidRPr="00536763" w:rsidRDefault="00FA5DDA" w:rsidP="00FA5DDA">
            <w:pPr>
              <w:pStyle w:val="ICASBody"/>
            </w:pPr>
            <w:r w:rsidRPr="00536763">
              <w:t>Client</w:t>
            </w:r>
          </w:p>
        </w:tc>
      </w:tr>
      <w:tr w:rsidR="00FA5DDA" w:rsidRPr="00536763" w14:paraId="27AE749F" w14:textId="77777777" w:rsidTr="00A40A84">
        <w:tc>
          <w:tcPr>
            <w:tcW w:w="3182" w:type="dxa"/>
            <w:vMerge/>
            <w:tcBorders>
              <w:bottom w:val="single" w:sz="4" w:space="0" w:color="auto"/>
            </w:tcBorders>
          </w:tcPr>
          <w:p w14:paraId="60461998" w14:textId="77777777" w:rsidR="00FA5DDA" w:rsidRPr="00536763" w:rsidRDefault="00FA5DDA" w:rsidP="00FA5DDA">
            <w:pPr>
              <w:pStyle w:val="ICASBody"/>
            </w:pPr>
          </w:p>
        </w:tc>
        <w:tc>
          <w:tcPr>
            <w:tcW w:w="3183" w:type="dxa"/>
            <w:tcBorders>
              <w:bottom w:val="single" w:sz="4" w:space="0" w:color="auto"/>
            </w:tcBorders>
          </w:tcPr>
          <w:p w14:paraId="7C50BAED" w14:textId="2352A13E" w:rsidR="00FA5DDA" w:rsidRPr="00536763" w:rsidRDefault="00FA5DDA" w:rsidP="00FA5DDA">
            <w:pPr>
              <w:pStyle w:val="ICASBody"/>
            </w:pPr>
            <w:r w:rsidRPr="00536763">
              <w:t>Drafts, internal file notes, etc</w:t>
            </w:r>
          </w:p>
        </w:tc>
        <w:tc>
          <w:tcPr>
            <w:tcW w:w="3183" w:type="dxa"/>
            <w:tcBorders>
              <w:bottom w:val="single" w:sz="4" w:space="0" w:color="auto"/>
            </w:tcBorders>
          </w:tcPr>
          <w:p w14:paraId="402006B7" w14:textId="623FA5EB" w:rsidR="00FA5DDA" w:rsidRPr="00536763" w:rsidRDefault="00FA5DDA" w:rsidP="00FA5DDA">
            <w:pPr>
              <w:pStyle w:val="ICASBody"/>
            </w:pPr>
            <w:r w:rsidRPr="00536763">
              <w:t>Firm</w:t>
            </w:r>
          </w:p>
        </w:tc>
      </w:tr>
      <w:tr w:rsidR="00FA5DDA" w:rsidRPr="00536763" w14:paraId="3451A11F" w14:textId="77777777" w:rsidTr="00A40A84">
        <w:tc>
          <w:tcPr>
            <w:tcW w:w="9548" w:type="dxa"/>
            <w:gridSpan w:val="3"/>
            <w:shd w:val="clear" w:color="auto" w:fill="D9D9D9" w:themeFill="background1" w:themeFillShade="D9"/>
          </w:tcPr>
          <w:p w14:paraId="2C3CD204" w14:textId="760EA088" w:rsidR="00FA5DDA" w:rsidRPr="00536763" w:rsidRDefault="00FA5DDA" w:rsidP="00FA5DDA">
            <w:pPr>
              <w:pStyle w:val="ICASBody"/>
            </w:pPr>
            <w:r w:rsidRPr="00536763">
              <w:rPr>
                <w:b/>
                <w:bCs/>
              </w:rPr>
              <w:t>Consulting and advisory work</w:t>
            </w:r>
          </w:p>
        </w:tc>
      </w:tr>
      <w:tr w:rsidR="00FA5DDA" w:rsidRPr="00536763" w14:paraId="790DF43F" w14:textId="77777777" w:rsidTr="007C6C5B">
        <w:tc>
          <w:tcPr>
            <w:tcW w:w="3182" w:type="dxa"/>
            <w:vMerge w:val="restart"/>
          </w:tcPr>
          <w:p w14:paraId="356809C2" w14:textId="77777777" w:rsidR="00FA5DDA" w:rsidRPr="00536763" w:rsidRDefault="00FA5DDA" w:rsidP="00FA5DDA">
            <w:pPr>
              <w:pStyle w:val="ICASBody"/>
            </w:pPr>
          </w:p>
        </w:tc>
        <w:tc>
          <w:tcPr>
            <w:tcW w:w="3183" w:type="dxa"/>
          </w:tcPr>
          <w:p w14:paraId="734B27DF" w14:textId="3E851B8C" w:rsidR="00FA5DDA" w:rsidRPr="00536763" w:rsidRDefault="00FA5DDA" w:rsidP="00FA5DDA">
            <w:pPr>
              <w:pStyle w:val="ICASBody"/>
            </w:pPr>
            <w:r w:rsidRPr="00536763">
              <w:t>Reports and other end product of a firms work</w:t>
            </w:r>
          </w:p>
        </w:tc>
        <w:tc>
          <w:tcPr>
            <w:tcW w:w="3183" w:type="dxa"/>
          </w:tcPr>
          <w:p w14:paraId="25459265" w14:textId="05FD2B6A" w:rsidR="00FA5DDA" w:rsidRPr="00536763" w:rsidRDefault="00FA5DDA" w:rsidP="00FA5DDA">
            <w:pPr>
              <w:pStyle w:val="ICASBody"/>
            </w:pPr>
            <w:r w:rsidRPr="00536763">
              <w:t>Client</w:t>
            </w:r>
          </w:p>
        </w:tc>
      </w:tr>
      <w:tr w:rsidR="00FA5DDA" w:rsidRPr="00536763" w14:paraId="79A7E979" w14:textId="77777777" w:rsidTr="00E77BFE">
        <w:tc>
          <w:tcPr>
            <w:tcW w:w="3182" w:type="dxa"/>
            <w:vMerge/>
            <w:tcBorders>
              <w:bottom w:val="single" w:sz="4" w:space="0" w:color="auto"/>
            </w:tcBorders>
          </w:tcPr>
          <w:p w14:paraId="276000A3" w14:textId="77777777" w:rsidR="00FA5DDA" w:rsidRPr="00536763" w:rsidRDefault="00FA5DDA" w:rsidP="00FA5DDA">
            <w:pPr>
              <w:pStyle w:val="ICASBody"/>
            </w:pPr>
          </w:p>
        </w:tc>
        <w:tc>
          <w:tcPr>
            <w:tcW w:w="3183" w:type="dxa"/>
            <w:tcBorders>
              <w:bottom w:val="single" w:sz="4" w:space="0" w:color="auto"/>
            </w:tcBorders>
          </w:tcPr>
          <w:p w14:paraId="2905287C" w14:textId="7F315125" w:rsidR="00FA5DDA" w:rsidRPr="003C4357" w:rsidRDefault="00FA5DDA" w:rsidP="00E84B46">
            <w:pPr>
              <w:pStyle w:val="ICASBody"/>
              <w:jc w:val="both"/>
            </w:pPr>
            <w:r w:rsidRPr="003C4357">
              <w:t>Other papers produced as part of</w:t>
            </w:r>
            <w:r w:rsidR="00E84B46">
              <w:t xml:space="preserve"> </w:t>
            </w:r>
            <w:r w:rsidRPr="003C4357">
              <w:t>the engagement but not provided</w:t>
            </w:r>
            <w:r w:rsidR="00E84B46">
              <w:t xml:space="preserve"> </w:t>
            </w:r>
            <w:r w:rsidRPr="003C4357">
              <w:t>to the client</w:t>
            </w:r>
          </w:p>
        </w:tc>
        <w:tc>
          <w:tcPr>
            <w:tcW w:w="3183" w:type="dxa"/>
            <w:tcBorders>
              <w:bottom w:val="single" w:sz="4" w:space="0" w:color="auto"/>
            </w:tcBorders>
          </w:tcPr>
          <w:p w14:paraId="45EEEA86" w14:textId="0AB5788D" w:rsidR="00FA5DDA" w:rsidRPr="00536763" w:rsidRDefault="00FA5DDA" w:rsidP="00FA5DDA">
            <w:pPr>
              <w:pStyle w:val="ICASBody"/>
            </w:pPr>
            <w:r w:rsidRPr="00536763">
              <w:t>Firm</w:t>
            </w:r>
          </w:p>
        </w:tc>
      </w:tr>
      <w:tr w:rsidR="00FA5DDA" w:rsidRPr="00536763" w14:paraId="2C8F6D04" w14:textId="77777777" w:rsidTr="00E77BFE">
        <w:tc>
          <w:tcPr>
            <w:tcW w:w="9548" w:type="dxa"/>
            <w:gridSpan w:val="3"/>
            <w:shd w:val="clear" w:color="auto" w:fill="D9D9D9" w:themeFill="background1" w:themeFillShade="D9"/>
          </w:tcPr>
          <w:p w14:paraId="0E31EE4B" w14:textId="6821B2A8" w:rsidR="00FA5DDA" w:rsidRPr="00536763" w:rsidRDefault="00FA5DDA" w:rsidP="00FA5DDA">
            <w:pPr>
              <w:pStyle w:val="ICASBody"/>
            </w:pPr>
            <w:r w:rsidRPr="00536763">
              <w:rPr>
                <w:b/>
                <w:bCs/>
              </w:rPr>
              <w:t>Insolvency</w:t>
            </w:r>
          </w:p>
        </w:tc>
      </w:tr>
      <w:tr w:rsidR="00FA5DDA" w:rsidRPr="00536763" w14:paraId="550E4039" w14:textId="77777777" w:rsidTr="008247B0">
        <w:tc>
          <w:tcPr>
            <w:tcW w:w="3182" w:type="dxa"/>
            <w:vMerge w:val="restart"/>
            <w:shd w:val="clear" w:color="auto" w:fill="auto"/>
          </w:tcPr>
          <w:p w14:paraId="70A52618" w14:textId="03E4F73E" w:rsidR="00FA5DDA" w:rsidRPr="008247B0" w:rsidRDefault="00FA5DDA" w:rsidP="00FA5DDA">
            <w:pPr>
              <w:pStyle w:val="ICASBody"/>
            </w:pPr>
            <w:r w:rsidRPr="008247B0">
              <w:t xml:space="preserve">Appointments as administrator or liquidator </w:t>
            </w:r>
          </w:p>
        </w:tc>
        <w:tc>
          <w:tcPr>
            <w:tcW w:w="3183" w:type="dxa"/>
            <w:shd w:val="clear" w:color="auto" w:fill="auto"/>
          </w:tcPr>
          <w:p w14:paraId="0AB35BD6" w14:textId="52082444" w:rsidR="00FA5DDA" w:rsidRPr="008247B0" w:rsidRDefault="00FA5DDA" w:rsidP="00FA5DDA">
            <w:pPr>
              <w:pStyle w:val="ICASBody"/>
            </w:pPr>
            <w:r w:rsidRPr="008247B0">
              <w:t>Books, records and documents of the insolvent entity prior to appointment</w:t>
            </w:r>
          </w:p>
        </w:tc>
        <w:tc>
          <w:tcPr>
            <w:tcW w:w="3183" w:type="dxa"/>
            <w:shd w:val="clear" w:color="auto" w:fill="auto"/>
          </w:tcPr>
          <w:p w14:paraId="1DD6D0A0" w14:textId="056E30C2" w:rsidR="00FA5DDA" w:rsidRPr="008247B0" w:rsidRDefault="00FA5DDA" w:rsidP="00FA5DDA">
            <w:pPr>
              <w:pStyle w:val="ICASBody"/>
            </w:pPr>
            <w:r w:rsidRPr="008247B0">
              <w:t>Insolvent entity, held by appointment holder as agent</w:t>
            </w:r>
          </w:p>
        </w:tc>
      </w:tr>
      <w:tr w:rsidR="00FA5DDA" w:rsidRPr="00536763" w14:paraId="4F0486DC" w14:textId="77777777" w:rsidTr="008247B0">
        <w:tc>
          <w:tcPr>
            <w:tcW w:w="3182" w:type="dxa"/>
            <w:vMerge/>
            <w:shd w:val="clear" w:color="auto" w:fill="auto"/>
          </w:tcPr>
          <w:p w14:paraId="297A0909" w14:textId="77777777" w:rsidR="00FA5DDA" w:rsidRPr="008247B0" w:rsidRDefault="00FA5DDA" w:rsidP="00FA5DDA">
            <w:pPr>
              <w:pStyle w:val="ICASBody"/>
            </w:pPr>
          </w:p>
        </w:tc>
        <w:tc>
          <w:tcPr>
            <w:tcW w:w="3183" w:type="dxa"/>
            <w:shd w:val="clear" w:color="auto" w:fill="auto"/>
          </w:tcPr>
          <w:p w14:paraId="49B9781C" w14:textId="0FDFD37A" w:rsidR="00FA5DDA" w:rsidRPr="008247B0" w:rsidRDefault="00FA5DDA" w:rsidP="00FA5DDA">
            <w:pPr>
              <w:pStyle w:val="ICASBody"/>
            </w:pPr>
            <w:r w:rsidRPr="008247B0">
              <w:t>Books, records and documents of the insolvent entity after appointment</w:t>
            </w:r>
          </w:p>
        </w:tc>
        <w:tc>
          <w:tcPr>
            <w:tcW w:w="3183" w:type="dxa"/>
            <w:shd w:val="clear" w:color="auto" w:fill="auto"/>
          </w:tcPr>
          <w:p w14:paraId="6B419BD7" w14:textId="18C0AE7D" w:rsidR="00FA5DDA" w:rsidRPr="008247B0" w:rsidRDefault="00FA5DDA" w:rsidP="00FA5DDA">
            <w:pPr>
              <w:pStyle w:val="ICASBody"/>
            </w:pPr>
            <w:r w:rsidRPr="008247B0">
              <w:t>Insolvent entity, held by appointment holder as agent</w:t>
            </w:r>
          </w:p>
        </w:tc>
      </w:tr>
      <w:tr w:rsidR="00FA5DDA" w:rsidRPr="00536763" w14:paraId="0BEE8C65" w14:textId="77777777" w:rsidTr="008247B0">
        <w:tc>
          <w:tcPr>
            <w:tcW w:w="3182" w:type="dxa"/>
            <w:vMerge/>
            <w:shd w:val="clear" w:color="auto" w:fill="auto"/>
          </w:tcPr>
          <w:p w14:paraId="6E01D703" w14:textId="77777777" w:rsidR="00FA5DDA" w:rsidRPr="008247B0" w:rsidRDefault="00FA5DDA" w:rsidP="00FA5DDA">
            <w:pPr>
              <w:pStyle w:val="ICASBody"/>
            </w:pPr>
          </w:p>
        </w:tc>
        <w:tc>
          <w:tcPr>
            <w:tcW w:w="3183" w:type="dxa"/>
            <w:shd w:val="clear" w:color="auto" w:fill="auto"/>
          </w:tcPr>
          <w:p w14:paraId="57A279FC" w14:textId="32F2A99C" w:rsidR="00FA5DDA" w:rsidRPr="008247B0" w:rsidRDefault="00FA5DDA" w:rsidP="00FA5DDA">
            <w:pPr>
              <w:pStyle w:val="ICASBody"/>
            </w:pPr>
            <w:r w:rsidRPr="008247B0">
              <w:t>Books, records and documents of the office holder</w:t>
            </w:r>
            <w:r w:rsidRPr="008247B0">
              <w:rPr>
                <w:vertAlign w:val="superscript"/>
              </w:rPr>
              <w:t>3</w:t>
            </w:r>
            <w:r w:rsidRPr="008247B0">
              <w:t xml:space="preserve"> after appointment</w:t>
            </w:r>
          </w:p>
        </w:tc>
        <w:tc>
          <w:tcPr>
            <w:tcW w:w="3183" w:type="dxa"/>
            <w:shd w:val="clear" w:color="auto" w:fill="auto"/>
          </w:tcPr>
          <w:p w14:paraId="0F2EA7F8" w14:textId="226181FE" w:rsidR="00FA5DDA" w:rsidRPr="008247B0" w:rsidRDefault="00FA5DDA" w:rsidP="00FA5DDA">
            <w:pPr>
              <w:pStyle w:val="ICASBody"/>
            </w:pPr>
            <w:r w:rsidRPr="008247B0">
              <w:t>Office holder</w:t>
            </w:r>
          </w:p>
        </w:tc>
      </w:tr>
      <w:tr w:rsidR="00FA5DDA" w:rsidRPr="00536763" w14:paraId="795401CE" w14:textId="77777777" w:rsidTr="007C6C5B">
        <w:tc>
          <w:tcPr>
            <w:tcW w:w="3182" w:type="dxa"/>
            <w:vMerge w:val="restart"/>
          </w:tcPr>
          <w:p w14:paraId="411538DD" w14:textId="6EB6F9C7" w:rsidR="00FA5DDA" w:rsidRPr="008247B0" w:rsidRDefault="00FA5DDA" w:rsidP="00FA5DDA">
            <w:pPr>
              <w:pStyle w:val="ICASBody"/>
            </w:pPr>
            <w:r w:rsidRPr="008247B0">
              <w:t>Appointments as administrative receiver (or receiver in Scotland)</w:t>
            </w:r>
          </w:p>
        </w:tc>
        <w:tc>
          <w:tcPr>
            <w:tcW w:w="3183" w:type="dxa"/>
          </w:tcPr>
          <w:p w14:paraId="66335FF8" w14:textId="11EECF3B" w:rsidR="00FA5DDA" w:rsidRPr="008247B0" w:rsidRDefault="00FA5DDA" w:rsidP="00FA5DDA">
            <w:pPr>
              <w:pStyle w:val="ICASBody"/>
            </w:pPr>
            <w:r w:rsidRPr="008247B0">
              <w:t>Books, records and documents of the insolvent entity prior to appointment</w:t>
            </w:r>
          </w:p>
        </w:tc>
        <w:tc>
          <w:tcPr>
            <w:tcW w:w="3183" w:type="dxa"/>
          </w:tcPr>
          <w:p w14:paraId="5BF5A1FB" w14:textId="0848CD70" w:rsidR="00FA5DDA" w:rsidRPr="008247B0" w:rsidRDefault="00FA5DDA" w:rsidP="00FA5DDA">
            <w:pPr>
              <w:pStyle w:val="ICASBody"/>
            </w:pPr>
            <w:r w:rsidRPr="008247B0">
              <w:t>Insolvent entity, held by appointment holder as agent</w:t>
            </w:r>
          </w:p>
        </w:tc>
      </w:tr>
      <w:tr w:rsidR="00FA5DDA" w:rsidRPr="00536763" w14:paraId="28F49146" w14:textId="77777777" w:rsidTr="00C02897">
        <w:trPr>
          <w:trHeight w:val="389"/>
        </w:trPr>
        <w:tc>
          <w:tcPr>
            <w:tcW w:w="3182" w:type="dxa"/>
            <w:vMerge/>
          </w:tcPr>
          <w:p w14:paraId="26D6440F" w14:textId="77777777" w:rsidR="00FA5DDA" w:rsidRPr="008247B0" w:rsidRDefault="00FA5DDA" w:rsidP="00FA5DDA">
            <w:pPr>
              <w:pStyle w:val="ICASBody"/>
            </w:pPr>
          </w:p>
        </w:tc>
        <w:tc>
          <w:tcPr>
            <w:tcW w:w="3183" w:type="dxa"/>
          </w:tcPr>
          <w:p w14:paraId="04FDAF9F" w14:textId="1CF85206" w:rsidR="00FA5DDA" w:rsidRPr="008247B0" w:rsidRDefault="00FA5DDA" w:rsidP="00FA5DDA">
            <w:pPr>
              <w:pStyle w:val="ICASBody"/>
            </w:pPr>
            <w:r w:rsidRPr="008247B0">
              <w:t>Books, records and documents of the insolvent entity after appointment</w:t>
            </w:r>
          </w:p>
        </w:tc>
        <w:tc>
          <w:tcPr>
            <w:tcW w:w="3183" w:type="dxa"/>
          </w:tcPr>
          <w:p w14:paraId="134714C5" w14:textId="00F312F6" w:rsidR="00FA5DDA" w:rsidRPr="008247B0" w:rsidRDefault="00FA5DDA" w:rsidP="00FA5DDA">
            <w:pPr>
              <w:pStyle w:val="ICASBody"/>
            </w:pPr>
            <w:r w:rsidRPr="008247B0">
              <w:t>Insolvent entity, held by appointment holder as agent</w:t>
            </w:r>
          </w:p>
        </w:tc>
      </w:tr>
      <w:tr w:rsidR="00FA5DDA" w:rsidRPr="00536763" w14:paraId="0B37AFDA" w14:textId="77777777" w:rsidTr="00C02897">
        <w:trPr>
          <w:trHeight w:val="389"/>
        </w:trPr>
        <w:tc>
          <w:tcPr>
            <w:tcW w:w="3182" w:type="dxa"/>
            <w:vMerge/>
          </w:tcPr>
          <w:p w14:paraId="61F9ECCC" w14:textId="77777777" w:rsidR="00FA5DDA" w:rsidRPr="008247B0" w:rsidRDefault="00FA5DDA" w:rsidP="00FA5DDA">
            <w:pPr>
              <w:pStyle w:val="ICASBody"/>
            </w:pPr>
          </w:p>
        </w:tc>
        <w:tc>
          <w:tcPr>
            <w:tcW w:w="3183" w:type="dxa"/>
          </w:tcPr>
          <w:p w14:paraId="4BFE3DC1" w14:textId="4BD5ECF6" w:rsidR="00FA5DDA" w:rsidRPr="008247B0" w:rsidRDefault="00FA5DDA" w:rsidP="00FA5DDA">
            <w:pPr>
              <w:pStyle w:val="ICASBody"/>
            </w:pPr>
            <w:r w:rsidRPr="008247B0">
              <w:t>Books, records and documents of the office holder</w:t>
            </w:r>
            <w:r w:rsidRPr="008247B0">
              <w:rPr>
                <w:vertAlign w:val="superscript"/>
              </w:rPr>
              <w:t>3</w:t>
            </w:r>
            <w:r w:rsidRPr="008247B0">
              <w:t xml:space="preserve"> after appointment</w:t>
            </w:r>
          </w:p>
        </w:tc>
        <w:tc>
          <w:tcPr>
            <w:tcW w:w="3183" w:type="dxa"/>
          </w:tcPr>
          <w:p w14:paraId="7393E150" w14:textId="4CD8239C" w:rsidR="00FA5DDA" w:rsidRPr="008247B0" w:rsidRDefault="00FA5DDA" w:rsidP="00FA5DDA">
            <w:pPr>
              <w:pStyle w:val="ICASBody"/>
            </w:pPr>
            <w:r w:rsidRPr="008247B0">
              <w:t>Office holder</w:t>
            </w:r>
          </w:p>
        </w:tc>
      </w:tr>
      <w:tr w:rsidR="00FA5DDA" w:rsidRPr="00536763" w14:paraId="475C033E" w14:textId="77777777" w:rsidTr="007C6C5B">
        <w:tc>
          <w:tcPr>
            <w:tcW w:w="3182" w:type="dxa"/>
            <w:vMerge w:val="restart"/>
          </w:tcPr>
          <w:p w14:paraId="0C19A324" w14:textId="10DBB2B1" w:rsidR="00FA5DDA" w:rsidRPr="009B168D" w:rsidRDefault="00FA5DDA" w:rsidP="00FA5DDA">
            <w:pPr>
              <w:pStyle w:val="ICASBody"/>
            </w:pPr>
            <w:r w:rsidRPr="009B168D">
              <w:t>Appointments as trustee</w:t>
            </w:r>
          </w:p>
        </w:tc>
        <w:tc>
          <w:tcPr>
            <w:tcW w:w="3183" w:type="dxa"/>
          </w:tcPr>
          <w:p w14:paraId="4E9453C0" w14:textId="17514D55" w:rsidR="00FA5DDA" w:rsidRPr="009B168D" w:rsidRDefault="00FA5DDA" w:rsidP="00FA5DDA">
            <w:pPr>
              <w:pStyle w:val="ICASBody"/>
            </w:pPr>
            <w:r w:rsidRPr="009B168D">
              <w:t>Books, records and documents of the debtor prior to date of sequestration</w:t>
            </w:r>
          </w:p>
        </w:tc>
        <w:tc>
          <w:tcPr>
            <w:tcW w:w="3183" w:type="dxa"/>
          </w:tcPr>
          <w:p w14:paraId="2B5DC504" w14:textId="6D7C8070" w:rsidR="00FA5DDA" w:rsidRPr="009B168D" w:rsidRDefault="00FA5DDA" w:rsidP="00FA5DDA">
            <w:pPr>
              <w:pStyle w:val="ICASBody"/>
            </w:pPr>
            <w:r w:rsidRPr="009B168D">
              <w:t>Vest in trustee</w:t>
            </w:r>
          </w:p>
        </w:tc>
      </w:tr>
      <w:tr w:rsidR="00FA5DDA" w:rsidRPr="00536763" w14:paraId="424235EA" w14:textId="77777777" w:rsidTr="007C6C5B">
        <w:tc>
          <w:tcPr>
            <w:tcW w:w="3182" w:type="dxa"/>
            <w:vMerge/>
          </w:tcPr>
          <w:p w14:paraId="2FF544BB" w14:textId="77777777" w:rsidR="00FA5DDA" w:rsidRPr="009B168D" w:rsidRDefault="00FA5DDA" w:rsidP="00FA5DDA">
            <w:pPr>
              <w:pStyle w:val="ICASBody"/>
            </w:pPr>
          </w:p>
        </w:tc>
        <w:tc>
          <w:tcPr>
            <w:tcW w:w="3183" w:type="dxa"/>
          </w:tcPr>
          <w:p w14:paraId="6F5A804A" w14:textId="68BE9653" w:rsidR="00FA5DDA" w:rsidRPr="009B168D" w:rsidRDefault="00FA5DDA" w:rsidP="00FA5DDA">
            <w:pPr>
              <w:pStyle w:val="ICASBody"/>
            </w:pPr>
            <w:r w:rsidRPr="009B168D">
              <w:t>Books, records and documents of the office holder</w:t>
            </w:r>
            <w:r w:rsidRPr="009B168D">
              <w:rPr>
                <w:vertAlign w:val="superscript"/>
              </w:rPr>
              <w:t>3</w:t>
            </w:r>
            <w:r w:rsidRPr="009B168D">
              <w:t xml:space="preserve"> after appointment</w:t>
            </w:r>
          </w:p>
        </w:tc>
        <w:tc>
          <w:tcPr>
            <w:tcW w:w="3183" w:type="dxa"/>
          </w:tcPr>
          <w:p w14:paraId="7DF88639" w14:textId="7299EE5A" w:rsidR="00FA5DDA" w:rsidRPr="009B168D" w:rsidRDefault="00FA5DDA" w:rsidP="00FA5DDA">
            <w:pPr>
              <w:pStyle w:val="ICASBody"/>
            </w:pPr>
            <w:r w:rsidRPr="009B168D">
              <w:t>Office holder</w:t>
            </w:r>
          </w:p>
        </w:tc>
      </w:tr>
      <w:tr w:rsidR="00FC3097" w:rsidRPr="00536763" w14:paraId="4AD625EC" w14:textId="77777777" w:rsidTr="007C6C5B">
        <w:tc>
          <w:tcPr>
            <w:tcW w:w="3182" w:type="dxa"/>
            <w:vMerge w:val="restart"/>
          </w:tcPr>
          <w:p w14:paraId="1D13A78D" w14:textId="60C6D66A" w:rsidR="00FC3097" w:rsidRPr="00F967CA" w:rsidRDefault="00FC3097" w:rsidP="00FC3097">
            <w:pPr>
              <w:pStyle w:val="ICASBody"/>
              <w:rPr>
                <w:highlight w:val="yellow"/>
              </w:rPr>
            </w:pPr>
            <w:r w:rsidRPr="000A5C57">
              <w:t>Appointments as nominee or supervisor</w:t>
            </w:r>
          </w:p>
        </w:tc>
        <w:tc>
          <w:tcPr>
            <w:tcW w:w="3183" w:type="dxa"/>
          </w:tcPr>
          <w:p w14:paraId="160F8BB1" w14:textId="07860665" w:rsidR="00FC3097" w:rsidRPr="00F967CA" w:rsidRDefault="00FC3097" w:rsidP="00FC3097">
            <w:pPr>
              <w:pStyle w:val="ICASBody"/>
              <w:rPr>
                <w:highlight w:val="yellow"/>
              </w:rPr>
            </w:pPr>
            <w:r w:rsidRPr="008247B0">
              <w:t>Books, records and documents of the insolvent entity prior to appointment</w:t>
            </w:r>
          </w:p>
        </w:tc>
        <w:tc>
          <w:tcPr>
            <w:tcW w:w="3183" w:type="dxa"/>
          </w:tcPr>
          <w:p w14:paraId="6D6EB301" w14:textId="457CD531" w:rsidR="00FC3097" w:rsidRPr="00F967CA" w:rsidRDefault="00FC3097" w:rsidP="00FC3097">
            <w:pPr>
              <w:pStyle w:val="ICASBody"/>
              <w:rPr>
                <w:highlight w:val="yellow"/>
              </w:rPr>
            </w:pPr>
            <w:r w:rsidRPr="008247B0">
              <w:t xml:space="preserve">Insolvent entity, </w:t>
            </w:r>
            <w:r>
              <w:t>unless specifically covered under the voluntary arrangement</w:t>
            </w:r>
          </w:p>
        </w:tc>
      </w:tr>
      <w:tr w:rsidR="00FC3097" w:rsidRPr="00536763" w14:paraId="575B59A4" w14:textId="77777777" w:rsidTr="007C6C5B">
        <w:tc>
          <w:tcPr>
            <w:tcW w:w="3182" w:type="dxa"/>
            <w:vMerge/>
          </w:tcPr>
          <w:p w14:paraId="1479B29E" w14:textId="77777777" w:rsidR="00FC3097" w:rsidRPr="00F967CA" w:rsidRDefault="00FC3097" w:rsidP="00FC3097">
            <w:pPr>
              <w:pStyle w:val="ICASBody"/>
              <w:rPr>
                <w:highlight w:val="yellow"/>
              </w:rPr>
            </w:pPr>
          </w:p>
        </w:tc>
        <w:tc>
          <w:tcPr>
            <w:tcW w:w="3183" w:type="dxa"/>
          </w:tcPr>
          <w:p w14:paraId="1BC60FBF" w14:textId="3CB9FEF6" w:rsidR="00FC3097" w:rsidRPr="00F967CA" w:rsidRDefault="00FC3097" w:rsidP="00FC3097">
            <w:pPr>
              <w:pStyle w:val="ICASBody"/>
              <w:rPr>
                <w:highlight w:val="yellow"/>
              </w:rPr>
            </w:pPr>
            <w:r w:rsidRPr="009B168D">
              <w:t>Books, records and documents of the office holder</w:t>
            </w:r>
            <w:r w:rsidRPr="009B168D">
              <w:rPr>
                <w:vertAlign w:val="superscript"/>
              </w:rPr>
              <w:t>3</w:t>
            </w:r>
            <w:r w:rsidRPr="009B168D">
              <w:t xml:space="preserve"> after appointment</w:t>
            </w:r>
          </w:p>
        </w:tc>
        <w:tc>
          <w:tcPr>
            <w:tcW w:w="3183" w:type="dxa"/>
          </w:tcPr>
          <w:p w14:paraId="1856DCA5" w14:textId="4676F38A" w:rsidR="00FC3097" w:rsidRPr="00F967CA" w:rsidRDefault="00FC3097" w:rsidP="00FC3097">
            <w:pPr>
              <w:pStyle w:val="ICASBody"/>
              <w:rPr>
                <w:highlight w:val="yellow"/>
              </w:rPr>
            </w:pPr>
            <w:r w:rsidRPr="009B168D">
              <w:t>Office holder</w:t>
            </w:r>
          </w:p>
        </w:tc>
      </w:tr>
      <w:tr w:rsidR="00B018A0" w:rsidRPr="00536763" w14:paraId="7529451F" w14:textId="77777777" w:rsidTr="007C6C5B">
        <w:tc>
          <w:tcPr>
            <w:tcW w:w="3182" w:type="dxa"/>
          </w:tcPr>
          <w:p w14:paraId="66FD2445" w14:textId="5678A7AB" w:rsidR="00B018A0" w:rsidRPr="00F21B0D" w:rsidRDefault="00B018A0" w:rsidP="00B018A0">
            <w:pPr>
              <w:pStyle w:val="ICASBody"/>
            </w:pPr>
            <w:r w:rsidRPr="00536763">
              <w:rPr>
                <w:b/>
                <w:bCs/>
              </w:rPr>
              <w:lastRenderedPageBreak/>
              <w:t>Scenario</w:t>
            </w:r>
          </w:p>
        </w:tc>
        <w:tc>
          <w:tcPr>
            <w:tcW w:w="3183" w:type="dxa"/>
          </w:tcPr>
          <w:p w14:paraId="186548F4" w14:textId="6DC53EA8" w:rsidR="00B018A0" w:rsidRPr="00F21B0D" w:rsidRDefault="00B018A0" w:rsidP="00B018A0">
            <w:pPr>
              <w:pStyle w:val="ICASBody"/>
            </w:pPr>
            <w:r w:rsidRPr="00536763">
              <w:rPr>
                <w:b/>
                <w:bCs/>
              </w:rPr>
              <w:t>Type of document</w:t>
            </w:r>
          </w:p>
        </w:tc>
        <w:tc>
          <w:tcPr>
            <w:tcW w:w="3183" w:type="dxa"/>
          </w:tcPr>
          <w:p w14:paraId="00AC82F9" w14:textId="4301B6AE" w:rsidR="00B018A0" w:rsidRPr="00F21B0D" w:rsidRDefault="00B018A0" w:rsidP="00B018A0">
            <w:pPr>
              <w:pStyle w:val="ICASBody"/>
            </w:pPr>
            <w:r w:rsidRPr="00536763">
              <w:rPr>
                <w:b/>
                <w:bCs/>
              </w:rPr>
              <w:t>Ownership</w:t>
            </w:r>
          </w:p>
        </w:tc>
      </w:tr>
      <w:tr w:rsidR="00B018A0" w:rsidRPr="00536763" w14:paraId="0D9EE063" w14:textId="77777777" w:rsidTr="007C6C5B">
        <w:tc>
          <w:tcPr>
            <w:tcW w:w="3182" w:type="dxa"/>
            <w:vMerge w:val="restart"/>
          </w:tcPr>
          <w:p w14:paraId="182E0C94" w14:textId="722F538B" w:rsidR="00B018A0" w:rsidRPr="00F21B0D" w:rsidRDefault="00B018A0" w:rsidP="00B018A0">
            <w:pPr>
              <w:pStyle w:val="ICASBody"/>
            </w:pPr>
            <w:r w:rsidRPr="00F21B0D">
              <w:t>Appointments as Monitor</w:t>
            </w:r>
          </w:p>
        </w:tc>
        <w:tc>
          <w:tcPr>
            <w:tcW w:w="3183" w:type="dxa"/>
          </w:tcPr>
          <w:p w14:paraId="39A54436" w14:textId="0F4B3D77" w:rsidR="00B018A0" w:rsidRPr="00F21B0D" w:rsidRDefault="00B018A0" w:rsidP="00B018A0">
            <w:pPr>
              <w:pStyle w:val="ICASBody"/>
            </w:pPr>
            <w:r w:rsidRPr="00F21B0D">
              <w:t>Books, records and documents of the insolvent entity prior to appointment</w:t>
            </w:r>
          </w:p>
        </w:tc>
        <w:tc>
          <w:tcPr>
            <w:tcW w:w="3183" w:type="dxa"/>
          </w:tcPr>
          <w:p w14:paraId="1436992C" w14:textId="53EBE1DD" w:rsidR="00B018A0" w:rsidRPr="00F21B0D" w:rsidRDefault="00B018A0" w:rsidP="00B018A0">
            <w:pPr>
              <w:pStyle w:val="ICASBody"/>
            </w:pPr>
            <w:r w:rsidRPr="00F21B0D">
              <w:t>Insolvent entity</w:t>
            </w:r>
          </w:p>
        </w:tc>
      </w:tr>
      <w:tr w:rsidR="00B018A0" w:rsidRPr="00536763" w14:paraId="26908526" w14:textId="77777777" w:rsidTr="007C6C5B">
        <w:tc>
          <w:tcPr>
            <w:tcW w:w="3182" w:type="dxa"/>
            <w:vMerge/>
          </w:tcPr>
          <w:p w14:paraId="5BCBA59B" w14:textId="77777777" w:rsidR="00B018A0" w:rsidRPr="00F967CA" w:rsidRDefault="00B018A0" w:rsidP="00B018A0">
            <w:pPr>
              <w:pStyle w:val="ICASBody"/>
              <w:rPr>
                <w:highlight w:val="yellow"/>
              </w:rPr>
            </w:pPr>
          </w:p>
        </w:tc>
        <w:tc>
          <w:tcPr>
            <w:tcW w:w="3183" w:type="dxa"/>
          </w:tcPr>
          <w:p w14:paraId="2E9D000E" w14:textId="2BDE0DD5" w:rsidR="00B018A0" w:rsidRPr="009B168D" w:rsidRDefault="00B018A0" w:rsidP="00B018A0">
            <w:pPr>
              <w:pStyle w:val="ICASBody"/>
            </w:pPr>
            <w:r w:rsidRPr="00F21B0D">
              <w:t xml:space="preserve">Books, records and documents of the insolvent entity </w:t>
            </w:r>
            <w:r>
              <w:t>during moratorium period</w:t>
            </w:r>
          </w:p>
        </w:tc>
        <w:tc>
          <w:tcPr>
            <w:tcW w:w="3183" w:type="dxa"/>
          </w:tcPr>
          <w:p w14:paraId="5817DD45" w14:textId="7F0E36B6" w:rsidR="00B018A0" w:rsidRPr="009B168D" w:rsidRDefault="00B018A0" w:rsidP="00B018A0">
            <w:pPr>
              <w:pStyle w:val="ICASBody"/>
            </w:pPr>
            <w:r w:rsidRPr="00F21B0D">
              <w:t>Insolvent entity</w:t>
            </w:r>
          </w:p>
        </w:tc>
      </w:tr>
      <w:tr w:rsidR="00B018A0" w:rsidRPr="00536763" w14:paraId="7E7831A9" w14:textId="77777777" w:rsidTr="007C6C5B">
        <w:tc>
          <w:tcPr>
            <w:tcW w:w="3182" w:type="dxa"/>
            <w:vMerge/>
          </w:tcPr>
          <w:p w14:paraId="231300AC" w14:textId="77777777" w:rsidR="00B018A0" w:rsidRPr="00F967CA" w:rsidRDefault="00B018A0" w:rsidP="00B018A0">
            <w:pPr>
              <w:pStyle w:val="ICASBody"/>
              <w:rPr>
                <w:highlight w:val="yellow"/>
              </w:rPr>
            </w:pPr>
          </w:p>
        </w:tc>
        <w:tc>
          <w:tcPr>
            <w:tcW w:w="3183" w:type="dxa"/>
          </w:tcPr>
          <w:p w14:paraId="2B0D7DA2" w14:textId="1A2D9BBF" w:rsidR="00B018A0" w:rsidRPr="00F967CA" w:rsidRDefault="00B018A0" w:rsidP="00B018A0">
            <w:pPr>
              <w:pStyle w:val="ICASBody"/>
              <w:rPr>
                <w:highlight w:val="yellow"/>
              </w:rPr>
            </w:pPr>
            <w:r w:rsidRPr="009B168D">
              <w:t>Books, records and documents of the office holder</w:t>
            </w:r>
            <w:r w:rsidRPr="009B168D">
              <w:rPr>
                <w:vertAlign w:val="superscript"/>
              </w:rPr>
              <w:t>3</w:t>
            </w:r>
            <w:r w:rsidRPr="009B168D">
              <w:t xml:space="preserve"> after appointment</w:t>
            </w:r>
          </w:p>
        </w:tc>
        <w:tc>
          <w:tcPr>
            <w:tcW w:w="3183" w:type="dxa"/>
          </w:tcPr>
          <w:p w14:paraId="3F997DB4" w14:textId="62BCA4DC" w:rsidR="00B018A0" w:rsidRPr="00F967CA" w:rsidRDefault="00B018A0" w:rsidP="00B018A0">
            <w:pPr>
              <w:pStyle w:val="ICASBody"/>
              <w:rPr>
                <w:highlight w:val="yellow"/>
              </w:rPr>
            </w:pPr>
            <w:r w:rsidRPr="009B168D">
              <w:t>Office holder</w:t>
            </w:r>
          </w:p>
        </w:tc>
      </w:tr>
      <w:tr w:rsidR="00B018A0" w:rsidRPr="00536763" w14:paraId="06DBFB55" w14:textId="77777777" w:rsidTr="007C6C5B">
        <w:tc>
          <w:tcPr>
            <w:tcW w:w="3182" w:type="dxa"/>
            <w:vMerge w:val="restart"/>
          </w:tcPr>
          <w:p w14:paraId="135391E1" w14:textId="3F3BB618" w:rsidR="00B018A0" w:rsidRPr="00536763" w:rsidRDefault="00B018A0" w:rsidP="00B018A0">
            <w:pPr>
              <w:pStyle w:val="ICASBody"/>
            </w:pPr>
            <w:r w:rsidRPr="00536763">
              <w:t>Court reporter</w:t>
            </w:r>
          </w:p>
        </w:tc>
        <w:tc>
          <w:tcPr>
            <w:tcW w:w="3183" w:type="dxa"/>
          </w:tcPr>
          <w:p w14:paraId="08101EE3" w14:textId="0DAF0F5D" w:rsidR="00B018A0" w:rsidRPr="00536763" w:rsidRDefault="00B018A0" w:rsidP="00B018A0">
            <w:pPr>
              <w:pStyle w:val="ICASBody"/>
            </w:pPr>
            <w:r w:rsidRPr="00536763">
              <w:t>Report to court</w:t>
            </w:r>
          </w:p>
        </w:tc>
        <w:tc>
          <w:tcPr>
            <w:tcW w:w="3183" w:type="dxa"/>
          </w:tcPr>
          <w:p w14:paraId="6D7D9C24" w14:textId="3380E38B" w:rsidR="00B018A0" w:rsidRPr="00536763" w:rsidRDefault="00B018A0" w:rsidP="00B018A0">
            <w:pPr>
              <w:pStyle w:val="ICASBody"/>
            </w:pPr>
            <w:r w:rsidRPr="00536763">
              <w:t>Court</w:t>
            </w:r>
          </w:p>
        </w:tc>
      </w:tr>
      <w:tr w:rsidR="00B018A0" w:rsidRPr="00536763" w14:paraId="427483C5" w14:textId="77777777" w:rsidTr="007C6C5B">
        <w:tc>
          <w:tcPr>
            <w:tcW w:w="3182" w:type="dxa"/>
            <w:vMerge/>
          </w:tcPr>
          <w:p w14:paraId="40458EDF" w14:textId="77777777" w:rsidR="00B018A0" w:rsidRPr="00536763" w:rsidRDefault="00B018A0" w:rsidP="00B018A0">
            <w:pPr>
              <w:pStyle w:val="ICASBody"/>
            </w:pPr>
          </w:p>
        </w:tc>
        <w:tc>
          <w:tcPr>
            <w:tcW w:w="3183" w:type="dxa"/>
          </w:tcPr>
          <w:p w14:paraId="4786D42F" w14:textId="54D20F75" w:rsidR="00B018A0" w:rsidRPr="00536763" w:rsidRDefault="00B018A0" w:rsidP="00B018A0">
            <w:pPr>
              <w:pStyle w:val="ICASBody"/>
            </w:pPr>
            <w:r w:rsidRPr="00536763">
              <w:t>Other papers produced as part of</w:t>
            </w:r>
            <w:r>
              <w:t xml:space="preserve"> </w:t>
            </w:r>
            <w:r w:rsidRPr="00536763">
              <w:t>the engagement but not provided</w:t>
            </w:r>
            <w:r>
              <w:t xml:space="preserve"> </w:t>
            </w:r>
            <w:r w:rsidRPr="00536763">
              <w:t>to the court</w:t>
            </w:r>
          </w:p>
        </w:tc>
        <w:tc>
          <w:tcPr>
            <w:tcW w:w="3183" w:type="dxa"/>
          </w:tcPr>
          <w:p w14:paraId="1A86DA61" w14:textId="392ACC7E" w:rsidR="00B018A0" w:rsidRPr="00536763" w:rsidRDefault="00B018A0" w:rsidP="00B018A0">
            <w:pPr>
              <w:pStyle w:val="ICASBody"/>
            </w:pPr>
            <w:r w:rsidRPr="00536763">
              <w:t>Firm</w:t>
            </w:r>
          </w:p>
        </w:tc>
      </w:tr>
    </w:tbl>
    <w:p w14:paraId="5CBA3BED" w14:textId="77777777" w:rsidR="007C6C5B" w:rsidRPr="00BC099F" w:rsidRDefault="007C6C5B" w:rsidP="00330F7D">
      <w:pPr>
        <w:rPr>
          <w:szCs w:val="20"/>
        </w:rPr>
      </w:pPr>
    </w:p>
    <w:p w14:paraId="692CCF05" w14:textId="333C1B11" w:rsidR="00374212" w:rsidRPr="00FC3097" w:rsidRDefault="00345B13" w:rsidP="00330F7D">
      <w:pPr>
        <w:rPr>
          <w:rFonts w:ascii="Arial" w:hAnsi="Arial" w:cs="Arial"/>
          <w:szCs w:val="20"/>
        </w:rPr>
      </w:pPr>
      <w:r w:rsidRPr="00FC3097">
        <w:rPr>
          <w:rFonts w:ascii="Arial" w:hAnsi="Arial" w:cs="Arial"/>
          <w:szCs w:val="20"/>
        </w:rPr>
        <w:t>Notes:</w:t>
      </w:r>
    </w:p>
    <w:p w14:paraId="23E7232F" w14:textId="652AD7A0" w:rsidR="00345B13" w:rsidRPr="00FC3097" w:rsidRDefault="00345B13" w:rsidP="00537B8D">
      <w:pPr>
        <w:pStyle w:val="ListParagraph"/>
        <w:numPr>
          <w:ilvl w:val="0"/>
          <w:numId w:val="8"/>
        </w:numPr>
        <w:rPr>
          <w:rFonts w:ascii="Arial" w:hAnsi="Arial" w:cs="Arial"/>
          <w:szCs w:val="20"/>
        </w:rPr>
      </w:pPr>
      <w:r w:rsidRPr="00FC3097">
        <w:rPr>
          <w:rFonts w:ascii="Arial" w:hAnsi="Arial" w:cs="Arial"/>
          <w:szCs w:val="20"/>
        </w:rPr>
        <w:t>Where the client has specifically engaged for drafts</w:t>
      </w:r>
      <w:r w:rsidR="00552755" w:rsidRPr="00FC3097">
        <w:rPr>
          <w:rFonts w:ascii="Arial" w:hAnsi="Arial" w:cs="Arial"/>
          <w:szCs w:val="20"/>
        </w:rPr>
        <w:t xml:space="preserve"> to be prepared, then draft copies of end products </w:t>
      </w:r>
      <w:r w:rsidR="00427129" w:rsidRPr="00FC3097">
        <w:rPr>
          <w:rFonts w:ascii="Arial" w:hAnsi="Arial" w:cs="Arial"/>
          <w:szCs w:val="20"/>
        </w:rPr>
        <w:t>will belong to the client as the draft is one of the products</w:t>
      </w:r>
      <w:r w:rsidR="00537B8D" w:rsidRPr="00FC3097">
        <w:rPr>
          <w:rFonts w:ascii="Arial" w:hAnsi="Arial" w:cs="Arial"/>
          <w:szCs w:val="20"/>
        </w:rPr>
        <w:t xml:space="preserve"> required by the client.</w:t>
      </w:r>
    </w:p>
    <w:p w14:paraId="4EB07B0C" w14:textId="68F07FB8" w:rsidR="004A1FFB" w:rsidRPr="00FC3097" w:rsidRDefault="0077137D" w:rsidP="00C02897">
      <w:pPr>
        <w:pStyle w:val="ListParagraph"/>
        <w:numPr>
          <w:ilvl w:val="0"/>
          <w:numId w:val="8"/>
        </w:numPr>
        <w:rPr>
          <w:rFonts w:ascii="Arial" w:hAnsi="Arial" w:cs="Arial"/>
          <w:szCs w:val="20"/>
        </w:rPr>
      </w:pPr>
      <w:r w:rsidRPr="00FC3097">
        <w:rPr>
          <w:rFonts w:ascii="Arial" w:hAnsi="Arial" w:cs="Arial"/>
          <w:szCs w:val="20"/>
        </w:rPr>
        <w:t xml:space="preserve">Where </w:t>
      </w:r>
      <w:r w:rsidR="00C5753F" w:rsidRPr="00FC3097">
        <w:rPr>
          <w:rFonts w:ascii="Arial" w:hAnsi="Arial" w:cs="Arial"/>
          <w:szCs w:val="20"/>
        </w:rPr>
        <w:t>information required to be maintained under statutory provision has been prepared by the firm</w:t>
      </w:r>
      <w:r w:rsidR="00582305" w:rsidRPr="00FC3097">
        <w:rPr>
          <w:rFonts w:ascii="Arial" w:hAnsi="Arial" w:cs="Arial"/>
          <w:szCs w:val="20"/>
        </w:rPr>
        <w:t>, that information will belong to the client</w:t>
      </w:r>
      <w:r w:rsidR="002E7AD6" w:rsidRPr="00FC3097">
        <w:rPr>
          <w:rFonts w:ascii="Arial" w:hAnsi="Arial" w:cs="Arial"/>
          <w:szCs w:val="20"/>
        </w:rPr>
        <w:t xml:space="preserve">. For example, </w:t>
      </w:r>
      <w:r w:rsidR="009F193E" w:rsidRPr="00FC3097">
        <w:rPr>
          <w:rFonts w:ascii="Arial" w:hAnsi="Arial" w:cs="Arial"/>
          <w:szCs w:val="20"/>
        </w:rPr>
        <w:t xml:space="preserve">schedules which could reasonably be described as accounting records prepared during </w:t>
      </w:r>
      <w:r w:rsidR="00CD3204" w:rsidRPr="00FC3097">
        <w:rPr>
          <w:rFonts w:ascii="Arial" w:hAnsi="Arial" w:cs="Arial"/>
          <w:szCs w:val="20"/>
        </w:rPr>
        <w:t>the preparation of financial statements</w:t>
      </w:r>
      <w:r w:rsidR="005F4544" w:rsidRPr="00FC3097">
        <w:rPr>
          <w:rFonts w:ascii="Arial" w:hAnsi="Arial" w:cs="Arial"/>
          <w:szCs w:val="20"/>
        </w:rPr>
        <w:t xml:space="preserve"> for a company incorporated under the Companies Act 2006, such as a nominal ledger</w:t>
      </w:r>
      <w:r w:rsidR="00AD6215" w:rsidRPr="00FC3097">
        <w:rPr>
          <w:rFonts w:ascii="Arial" w:hAnsi="Arial" w:cs="Arial"/>
          <w:szCs w:val="20"/>
        </w:rPr>
        <w:t xml:space="preserve"> or journal entries</w:t>
      </w:r>
      <w:r w:rsidR="00D918FD" w:rsidRPr="00FC3097">
        <w:rPr>
          <w:rFonts w:ascii="Arial" w:hAnsi="Arial" w:cs="Arial"/>
          <w:szCs w:val="20"/>
        </w:rPr>
        <w:t xml:space="preserve"> which are not otherwise </w:t>
      </w:r>
      <w:r w:rsidR="009D6F71" w:rsidRPr="00FC3097">
        <w:rPr>
          <w:rFonts w:ascii="Arial" w:hAnsi="Arial" w:cs="Arial"/>
          <w:szCs w:val="20"/>
        </w:rPr>
        <w:t>incorporated back into the company’s own accounting records are likely to belong to the client.</w:t>
      </w:r>
    </w:p>
    <w:p w14:paraId="6D609453" w14:textId="00F043EF" w:rsidR="00AE0A67" w:rsidRPr="00FC3097" w:rsidRDefault="00F610B5" w:rsidP="00C02897">
      <w:pPr>
        <w:pStyle w:val="ListParagraph"/>
        <w:numPr>
          <w:ilvl w:val="0"/>
          <w:numId w:val="8"/>
        </w:numPr>
        <w:rPr>
          <w:rFonts w:ascii="Arial" w:hAnsi="Arial" w:cs="Arial"/>
          <w:szCs w:val="20"/>
        </w:rPr>
      </w:pPr>
      <w:r w:rsidRPr="00FC3097">
        <w:rPr>
          <w:rFonts w:ascii="Arial" w:hAnsi="Arial" w:cs="Arial"/>
          <w:szCs w:val="20"/>
        </w:rPr>
        <w:t>Books</w:t>
      </w:r>
      <w:r w:rsidR="00F623D1" w:rsidRPr="00FC3097">
        <w:rPr>
          <w:rFonts w:ascii="Arial" w:hAnsi="Arial" w:cs="Arial"/>
          <w:szCs w:val="20"/>
        </w:rPr>
        <w:t>,</w:t>
      </w:r>
      <w:r w:rsidRPr="00FC3097">
        <w:rPr>
          <w:rFonts w:ascii="Arial" w:hAnsi="Arial" w:cs="Arial"/>
          <w:szCs w:val="20"/>
        </w:rPr>
        <w:t xml:space="preserve"> records</w:t>
      </w:r>
      <w:r w:rsidR="002A40D9" w:rsidRPr="00FC3097">
        <w:rPr>
          <w:rFonts w:ascii="Arial" w:hAnsi="Arial" w:cs="Arial"/>
          <w:szCs w:val="20"/>
        </w:rPr>
        <w:t>,</w:t>
      </w:r>
      <w:r w:rsidRPr="00FC3097">
        <w:rPr>
          <w:rFonts w:ascii="Arial" w:hAnsi="Arial" w:cs="Arial"/>
          <w:szCs w:val="20"/>
        </w:rPr>
        <w:t xml:space="preserve"> and documents of the office holder would include</w:t>
      </w:r>
      <w:r w:rsidR="00695B43" w:rsidRPr="00FC3097">
        <w:rPr>
          <w:rFonts w:ascii="Arial" w:hAnsi="Arial" w:cs="Arial"/>
          <w:szCs w:val="20"/>
        </w:rPr>
        <w:t>,</w:t>
      </w:r>
      <w:r w:rsidRPr="00FC3097">
        <w:rPr>
          <w:rFonts w:ascii="Arial" w:hAnsi="Arial" w:cs="Arial"/>
          <w:szCs w:val="20"/>
        </w:rPr>
        <w:t xml:space="preserve"> </w:t>
      </w:r>
      <w:r w:rsidR="00695B43" w:rsidRPr="00FC3097">
        <w:rPr>
          <w:rFonts w:ascii="Arial" w:hAnsi="Arial" w:cs="Arial"/>
          <w:szCs w:val="20"/>
        </w:rPr>
        <w:t xml:space="preserve">for example, </w:t>
      </w:r>
      <w:r w:rsidR="00226AAD" w:rsidRPr="00FC3097">
        <w:rPr>
          <w:rFonts w:ascii="Arial" w:hAnsi="Arial" w:cs="Arial"/>
          <w:szCs w:val="20"/>
        </w:rPr>
        <w:t xml:space="preserve">strategy documents, </w:t>
      </w:r>
      <w:r w:rsidR="001D51DF" w:rsidRPr="00FC3097">
        <w:rPr>
          <w:rFonts w:ascii="Arial" w:hAnsi="Arial" w:cs="Arial"/>
          <w:szCs w:val="20"/>
        </w:rPr>
        <w:t xml:space="preserve">case reviews, </w:t>
      </w:r>
      <w:r w:rsidR="00CB3B00" w:rsidRPr="00FC3097">
        <w:rPr>
          <w:rFonts w:ascii="Arial" w:hAnsi="Arial" w:cs="Arial"/>
          <w:szCs w:val="20"/>
        </w:rPr>
        <w:t>estate bank statements and supporting vouchers</w:t>
      </w:r>
      <w:r w:rsidR="006049EF" w:rsidRPr="00FC3097">
        <w:rPr>
          <w:rFonts w:ascii="Arial" w:hAnsi="Arial" w:cs="Arial"/>
          <w:szCs w:val="20"/>
        </w:rPr>
        <w:t>, working papers</w:t>
      </w:r>
      <w:r w:rsidR="00DC79FB" w:rsidRPr="00FC3097">
        <w:rPr>
          <w:rFonts w:ascii="Arial" w:hAnsi="Arial" w:cs="Arial"/>
          <w:szCs w:val="20"/>
        </w:rPr>
        <w:t>, correspondence with advisers, etc.</w:t>
      </w:r>
    </w:p>
    <w:p w14:paraId="2261CACE" w14:textId="77777777" w:rsidR="00345B13" w:rsidRPr="00BC099F" w:rsidRDefault="00345B13" w:rsidP="00330F7D">
      <w:pPr>
        <w:rPr>
          <w:szCs w:val="20"/>
        </w:rPr>
      </w:pPr>
    </w:p>
    <w:p w14:paraId="6619299F" w14:textId="77777777" w:rsidR="007B67EF" w:rsidRPr="00BC099F" w:rsidRDefault="007B67EF" w:rsidP="003858B8">
      <w:pPr>
        <w:rPr>
          <w:szCs w:val="20"/>
        </w:rPr>
      </w:pPr>
    </w:p>
    <w:p w14:paraId="37626BDE" w14:textId="77777777" w:rsidR="007B40B3" w:rsidRDefault="007B40B3">
      <w:pPr>
        <w:rPr>
          <w:szCs w:val="20"/>
        </w:rPr>
      </w:pPr>
      <w:r>
        <w:rPr>
          <w:szCs w:val="20"/>
        </w:rPr>
        <w:br w:type="page"/>
      </w:r>
    </w:p>
    <w:p w14:paraId="7E7D719B" w14:textId="312AFA4F" w:rsidR="009D08EC" w:rsidRPr="00BD5FF7" w:rsidRDefault="009D08EC" w:rsidP="00B058C9">
      <w:pPr>
        <w:pStyle w:val="Heading2"/>
      </w:pPr>
      <w:bookmarkStart w:id="1" w:name="Appendix2"/>
      <w:r w:rsidRPr="00BD5FF7">
        <w:lastRenderedPageBreak/>
        <w:t>Appendix 2</w:t>
      </w:r>
      <w:bookmarkEnd w:id="1"/>
      <w:r w:rsidRPr="00BD5FF7">
        <w:t xml:space="preserve"> – document retention periods </w:t>
      </w:r>
    </w:p>
    <w:p w14:paraId="768C95F1" w14:textId="2D7C3C6C" w:rsidR="003156F2" w:rsidRPr="00BC099F" w:rsidRDefault="003156F2" w:rsidP="00B058C9">
      <w:pPr>
        <w:pStyle w:val="ICASBody"/>
      </w:pPr>
      <w:r w:rsidRPr="00BC099F">
        <w:t xml:space="preserve">The following table </w:t>
      </w:r>
      <w:r w:rsidR="00CF5E4D" w:rsidRPr="00BC099F">
        <w:t xml:space="preserve">provides </w:t>
      </w:r>
      <w:r w:rsidRPr="00BC099F">
        <w:t>some guidance and suggestions on document retention periods. Please note that these are only suggestions and circumstances may justify shorter or longer retention periods.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635"/>
      </w:tblGrid>
      <w:tr w:rsidR="009D08EC" w:rsidRPr="000B5C12" w14:paraId="1147FD6E" w14:textId="77777777" w:rsidTr="007D3313">
        <w:tc>
          <w:tcPr>
            <w:tcW w:w="3227" w:type="dxa"/>
          </w:tcPr>
          <w:p w14:paraId="6495BB34" w14:textId="04C57FEE" w:rsidR="009D08EC" w:rsidRPr="00B058C9" w:rsidRDefault="00A06346" w:rsidP="00B058C9">
            <w:pPr>
              <w:pStyle w:val="ICASBody"/>
              <w:rPr>
                <w:b/>
                <w:bCs/>
              </w:rPr>
            </w:pPr>
            <w:r w:rsidRPr="00B058C9">
              <w:rPr>
                <w:b/>
                <w:bCs/>
              </w:rPr>
              <w:t>File type</w:t>
            </w:r>
          </w:p>
        </w:tc>
        <w:tc>
          <w:tcPr>
            <w:tcW w:w="5635" w:type="dxa"/>
          </w:tcPr>
          <w:p w14:paraId="5F3BB97E" w14:textId="1D9502E6" w:rsidR="009D08EC" w:rsidRPr="00B058C9" w:rsidRDefault="00A06346" w:rsidP="00B058C9">
            <w:pPr>
              <w:pStyle w:val="ICASBody"/>
              <w:rPr>
                <w:b/>
                <w:bCs/>
              </w:rPr>
            </w:pPr>
            <w:r w:rsidRPr="00B058C9">
              <w:rPr>
                <w:b/>
                <w:bCs/>
              </w:rPr>
              <w:t>Retention period</w:t>
            </w:r>
          </w:p>
        </w:tc>
      </w:tr>
      <w:tr w:rsidR="00A5209E" w:rsidRPr="000B5C12" w14:paraId="2F3908D6" w14:textId="77777777" w:rsidTr="007D3313">
        <w:tc>
          <w:tcPr>
            <w:tcW w:w="3227" w:type="dxa"/>
          </w:tcPr>
          <w:p w14:paraId="161E17EC" w14:textId="77777777" w:rsidR="00A5209E" w:rsidRPr="000B5C12" w:rsidRDefault="00A5209E" w:rsidP="00B058C9">
            <w:pPr>
              <w:pStyle w:val="ICASBody"/>
            </w:pPr>
            <w:r w:rsidRPr="000B5C12">
              <w:t>Audit files and working papers</w:t>
            </w:r>
          </w:p>
        </w:tc>
        <w:tc>
          <w:tcPr>
            <w:tcW w:w="5635" w:type="dxa"/>
          </w:tcPr>
          <w:p w14:paraId="1B886C83" w14:textId="175A59A8" w:rsidR="00A5209E" w:rsidRPr="000B5C12" w:rsidRDefault="00A5209E" w:rsidP="00B058C9">
            <w:pPr>
              <w:pStyle w:val="ICASBody"/>
            </w:pPr>
            <w:r w:rsidRPr="000B5C12">
              <w:t>Audit regulations require current year, plus a further six years.</w:t>
            </w:r>
          </w:p>
          <w:p w14:paraId="5BB7A4C5" w14:textId="77777777" w:rsidR="00A5209E" w:rsidRPr="000B5C12" w:rsidRDefault="00A5209E" w:rsidP="00B058C9">
            <w:pPr>
              <w:pStyle w:val="ICASBody"/>
            </w:pPr>
            <w:r w:rsidRPr="000B5C12">
              <w:t>Preferable to keep two years files in hard-copy form.</w:t>
            </w:r>
          </w:p>
        </w:tc>
      </w:tr>
      <w:tr w:rsidR="00A5209E" w:rsidRPr="000B5C12" w14:paraId="6E6CD69F" w14:textId="77777777" w:rsidTr="007D3313">
        <w:tc>
          <w:tcPr>
            <w:tcW w:w="3227" w:type="dxa"/>
          </w:tcPr>
          <w:p w14:paraId="3A14C977" w14:textId="77777777" w:rsidR="00A5209E" w:rsidRPr="000B5C12" w:rsidRDefault="00A5209E" w:rsidP="00B058C9">
            <w:pPr>
              <w:pStyle w:val="ICASBody"/>
            </w:pPr>
            <w:r w:rsidRPr="000B5C12">
              <w:t>Client permanent files</w:t>
            </w:r>
          </w:p>
        </w:tc>
        <w:tc>
          <w:tcPr>
            <w:tcW w:w="5635" w:type="dxa"/>
          </w:tcPr>
          <w:p w14:paraId="4A81BE42" w14:textId="5DD2BD9C" w:rsidR="00A5209E" w:rsidRPr="000B5C12" w:rsidRDefault="00204F8B" w:rsidP="00B058C9">
            <w:pPr>
              <w:pStyle w:val="ICASBody"/>
            </w:pPr>
            <w:r>
              <w:t>20 years</w:t>
            </w:r>
            <w:r w:rsidR="00B6250C">
              <w:t xml:space="preserve"> after client relationship ceases</w:t>
            </w:r>
          </w:p>
        </w:tc>
      </w:tr>
      <w:tr w:rsidR="00A5209E" w:rsidRPr="000B5C12" w14:paraId="6460D972" w14:textId="77777777" w:rsidTr="007D3313">
        <w:tc>
          <w:tcPr>
            <w:tcW w:w="3227" w:type="dxa"/>
          </w:tcPr>
          <w:p w14:paraId="60727A23" w14:textId="77777777" w:rsidR="00A5209E" w:rsidRPr="000B5C12" w:rsidRDefault="00A5209E" w:rsidP="00B058C9">
            <w:pPr>
              <w:pStyle w:val="ICASBody"/>
            </w:pPr>
            <w:r w:rsidRPr="000B5C12">
              <w:t>Accounts preparation working papers</w:t>
            </w:r>
          </w:p>
        </w:tc>
        <w:tc>
          <w:tcPr>
            <w:tcW w:w="5635" w:type="dxa"/>
          </w:tcPr>
          <w:p w14:paraId="22C46B9B" w14:textId="77777777" w:rsidR="00A5209E" w:rsidRPr="000B5C12" w:rsidRDefault="00A5209E" w:rsidP="00B058C9">
            <w:pPr>
              <w:pStyle w:val="ICASBody"/>
            </w:pPr>
            <w:r w:rsidRPr="000B5C12">
              <w:t>Current year plus six further years.</w:t>
            </w:r>
          </w:p>
        </w:tc>
      </w:tr>
      <w:tr w:rsidR="00A5209E" w:rsidRPr="000B5C12" w14:paraId="4F1A35F1" w14:textId="77777777" w:rsidTr="007D3313">
        <w:tc>
          <w:tcPr>
            <w:tcW w:w="3227" w:type="dxa"/>
          </w:tcPr>
          <w:p w14:paraId="7282D6D5" w14:textId="77777777" w:rsidR="00A5209E" w:rsidRPr="000B5C12" w:rsidRDefault="00A5209E" w:rsidP="00B058C9">
            <w:pPr>
              <w:pStyle w:val="ICASBody"/>
            </w:pPr>
            <w:r w:rsidRPr="000B5C12">
              <w:t>General tax papers including correspondence</w:t>
            </w:r>
          </w:p>
        </w:tc>
        <w:tc>
          <w:tcPr>
            <w:tcW w:w="5635" w:type="dxa"/>
          </w:tcPr>
          <w:p w14:paraId="2078A337" w14:textId="77777777" w:rsidR="00A5209E" w:rsidRPr="000B5C12" w:rsidRDefault="00A5209E" w:rsidP="00B058C9">
            <w:pPr>
              <w:pStyle w:val="ICASBody"/>
            </w:pPr>
            <w:r w:rsidRPr="000B5C12">
              <w:t>Current year plus six further years, then return to client.</w:t>
            </w:r>
          </w:p>
        </w:tc>
      </w:tr>
      <w:tr w:rsidR="00A5209E" w:rsidRPr="000B5C12" w14:paraId="7762D261" w14:textId="77777777" w:rsidTr="007D3313">
        <w:tc>
          <w:tcPr>
            <w:tcW w:w="3227" w:type="dxa"/>
          </w:tcPr>
          <w:p w14:paraId="3B944AE6" w14:textId="77777777" w:rsidR="00A5209E" w:rsidRPr="000B5C12" w:rsidRDefault="00A5209E" w:rsidP="00B058C9">
            <w:pPr>
              <w:pStyle w:val="ICASBody"/>
            </w:pPr>
            <w:r w:rsidRPr="000B5C12">
              <w:t>Original documentation</w:t>
            </w:r>
          </w:p>
        </w:tc>
        <w:tc>
          <w:tcPr>
            <w:tcW w:w="5635" w:type="dxa"/>
          </w:tcPr>
          <w:p w14:paraId="430A260E" w14:textId="77777777" w:rsidR="00A5209E" w:rsidRPr="000B5C12" w:rsidRDefault="00A5209E" w:rsidP="00B058C9">
            <w:pPr>
              <w:pStyle w:val="ICASBody"/>
            </w:pPr>
            <w:r w:rsidRPr="000B5C12">
              <w:t>Retain as long as instruction requires, and then return to client.</w:t>
            </w:r>
          </w:p>
        </w:tc>
      </w:tr>
      <w:tr w:rsidR="00A5209E" w:rsidRPr="000B5C12" w14:paraId="71A30757" w14:textId="77777777" w:rsidTr="007D3313">
        <w:tc>
          <w:tcPr>
            <w:tcW w:w="3227" w:type="dxa"/>
          </w:tcPr>
          <w:p w14:paraId="252DD7A3" w14:textId="77777777" w:rsidR="00A5209E" w:rsidRPr="000B5C12" w:rsidRDefault="00A5209E" w:rsidP="00B058C9">
            <w:pPr>
              <w:pStyle w:val="ICASBody"/>
            </w:pPr>
            <w:r w:rsidRPr="000B5C12">
              <w:t>Information relating to client’s chargeable assets and gifts</w:t>
            </w:r>
          </w:p>
        </w:tc>
        <w:tc>
          <w:tcPr>
            <w:tcW w:w="5635" w:type="dxa"/>
          </w:tcPr>
          <w:p w14:paraId="6AB6608E" w14:textId="77777777" w:rsidR="00A5209E" w:rsidRPr="000B5C12" w:rsidRDefault="00A5209E" w:rsidP="00B058C9">
            <w:pPr>
              <w:pStyle w:val="ICASBody"/>
            </w:pPr>
            <w:r w:rsidRPr="000B5C12">
              <w:t>Indefinitely.</w:t>
            </w:r>
          </w:p>
        </w:tc>
      </w:tr>
      <w:tr w:rsidR="00A5209E" w:rsidRPr="000B5C12" w14:paraId="34E00A9F" w14:textId="77777777" w:rsidTr="007D3313">
        <w:tc>
          <w:tcPr>
            <w:tcW w:w="3227" w:type="dxa"/>
          </w:tcPr>
          <w:p w14:paraId="165D9A0E" w14:textId="77777777" w:rsidR="00A5209E" w:rsidRPr="000B5C12" w:rsidRDefault="00A5209E" w:rsidP="00B058C9">
            <w:pPr>
              <w:pStyle w:val="ICASBody"/>
            </w:pPr>
            <w:r w:rsidRPr="000B5C12">
              <w:t>Documents of title (e.g. leases)</w:t>
            </w:r>
          </w:p>
        </w:tc>
        <w:tc>
          <w:tcPr>
            <w:tcW w:w="5635" w:type="dxa"/>
          </w:tcPr>
          <w:p w14:paraId="1FEBD1E5" w14:textId="77777777" w:rsidR="00A5209E" w:rsidRPr="000B5C12" w:rsidRDefault="00A5209E" w:rsidP="00B058C9">
            <w:pPr>
              <w:pStyle w:val="ICASBody"/>
            </w:pPr>
            <w:r w:rsidRPr="000B5C12">
              <w:t>12 years after interest in property ceases and documents are not required by new owner, landlord etc.</w:t>
            </w:r>
          </w:p>
        </w:tc>
      </w:tr>
      <w:tr w:rsidR="00A5209E" w:rsidRPr="000B5C12" w14:paraId="518FDF76" w14:textId="77777777" w:rsidTr="007D3313">
        <w:tc>
          <w:tcPr>
            <w:tcW w:w="3227" w:type="dxa"/>
          </w:tcPr>
          <w:p w14:paraId="120433BB" w14:textId="77777777" w:rsidR="00A5209E" w:rsidRPr="000B5C12" w:rsidRDefault="00A5209E" w:rsidP="00B058C9">
            <w:pPr>
              <w:pStyle w:val="ICASBody"/>
            </w:pPr>
            <w:r w:rsidRPr="000B5C12">
              <w:t>PAYE files</w:t>
            </w:r>
          </w:p>
        </w:tc>
        <w:tc>
          <w:tcPr>
            <w:tcW w:w="5635" w:type="dxa"/>
          </w:tcPr>
          <w:p w14:paraId="464148BA" w14:textId="77777777" w:rsidR="00A5209E" w:rsidRPr="000B5C12" w:rsidRDefault="00A5209E" w:rsidP="00B058C9">
            <w:pPr>
              <w:pStyle w:val="ICASBody"/>
            </w:pPr>
            <w:r w:rsidRPr="000B5C12">
              <w:t>Current year plus six further years.</w:t>
            </w:r>
          </w:p>
        </w:tc>
      </w:tr>
      <w:tr w:rsidR="00A5209E" w:rsidRPr="000B5C12" w14:paraId="35E18561" w14:textId="77777777" w:rsidTr="007D3313">
        <w:tc>
          <w:tcPr>
            <w:tcW w:w="3227" w:type="dxa"/>
          </w:tcPr>
          <w:p w14:paraId="177C8E2F" w14:textId="77777777" w:rsidR="00A5209E" w:rsidRPr="000B5C12" w:rsidRDefault="00A5209E" w:rsidP="00B058C9">
            <w:pPr>
              <w:pStyle w:val="ICASBody"/>
            </w:pPr>
            <w:r w:rsidRPr="000B5C12">
              <w:t>Insolvency-related files</w:t>
            </w:r>
          </w:p>
        </w:tc>
        <w:tc>
          <w:tcPr>
            <w:tcW w:w="5635" w:type="dxa"/>
          </w:tcPr>
          <w:p w14:paraId="20674C29" w14:textId="77777777" w:rsidR="00A5209E" w:rsidRPr="000B5C12" w:rsidRDefault="00A5209E" w:rsidP="00B058C9">
            <w:pPr>
              <w:pStyle w:val="ICASBody"/>
            </w:pPr>
            <w:r w:rsidRPr="000B5C12">
              <w:t>Current year plus six further years.</w:t>
            </w:r>
          </w:p>
        </w:tc>
      </w:tr>
      <w:tr w:rsidR="00A5209E" w:rsidRPr="000B5C12" w14:paraId="5176D77C" w14:textId="77777777" w:rsidTr="007D3313">
        <w:tc>
          <w:tcPr>
            <w:tcW w:w="3227" w:type="dxa"/>
          </w:tcPr>
          <w:p w14:paraId="27C6B4D4" w14:textId="77777777" w:rsidR="00A5209E" w:rsidRPr="000B5C12" w:rsidRDefault="00A5209E" w:rsidP="00B058C9">
            <w:pPr>
              <w:pStyle w:val="ICASBody"/>
            </w:pPr>
            <w:r w:rsidRPr="000B5C12">
              <w:t>Office papers – General office correspondence and time records</w:t>
            </w:r>
          </w:p>
        </w:tc>
        <w:tc>
          <w:tcPr>
            <w:tcW w:w="5635" w:type="dxa"/>
          </w:tcPr>
          <w:p w14:paraId="0D13F3A6" w14:textId="77777777" w:rsidR="00A5209E" w:rsidRPr="000B5C12" w:rsidRDefault="00A5209E" w:rsidP="00B058C9">
            <w:pPr>
              <w:pStyle w:val="ICASBody"/>
            </w:pPr>
            <w:r w:rsidRPr="000B5C12">
              <w:t>Five years.</w:t>
            </w:r>
          </w:p>
        </w:tc>
      </w:tr>
      <w:tr w:rsidR="0061339A" w:rsidRPr="000B5C12" w14:paraId="3487AF89" w14:textId="77777777" w:rsidTr="007D3313">
        <w:tc>
          <w:tcPr>
            <w:tcW w:w="3227" w:type="dxa"/>
          </w:tcPr>
          <w:p w14:paraId="51AC7010" w14:textId="2D86E74E" w:rsidR="0061339A" w:rsidRPr="000B5C12" w:rsidRDefault="00F21D08" w:rsidP="00B058C9">
            <w:pPr>
              <w:pStyle w:val="ICASBody"/>
            </w:pPr>
            <w:r>
              <w:t>AML Customer Due Diligence documentation</w:t>
            </w:r>
          </w:p>
        </w:tc>
        <w:tc>
          <w:tcPr>
            <w:tcW w:w="5635" w:type="dxa"/>
          </w:tcPr>
          <w:p w14:paraId="5F53FFC2" w14:textId="17CF3CFB" w:rsidR="0061339A" w:rsidRPr="000B5C12" w:rsidRDefault="00F21D08" w:rsidP="00B058C9">
            <w:pPr>
              <w:pStyle w:val="ICASBody"/>
            </w:pPr>
            <w:r>
              <w:t>Per Regulation 40 of 2017 MLRs – 5 years after ceasing to act for the client.</w:t>
            </w:r>
          </w:p>
        </w:tc>
      </w:tr>
      <w:tr w:rsidR="00A567C0" w:rsidRPr="000B5C12" w14:paraId="405ED803" w14:textId="77777777" w:rsidTr="00E56F1C">
        <w:tc>
          <w:tcPr>
            <w:tcW w:w="3227" w:type="dxa"/>
            <w:tcBorders>
              <w:bottom w:val="nil"/>
            </w:tcBorders>
          </w:tcPr>
          <w:p w14:paraId="7B7411AB" w14:textId="77777777" w:rsidR="00A567C0" w:rsidRPr="000B5C12" w:rsidRDefault="00A567C0" w:rsidP="00B058C9">
            <w:pPr>
              <w:pStyle w:val="ICASBody"/>
            </w:pPr>
            <w:r w:rsidRPr="000B5C12">
              <w:t>Investment Business records</w:t>
            </w:r>
          </w:p>
          <w:p w14:paraId="71E66948" w14:textId="77777777" w:rsidR="00A567C0" w:rsidRDefault="00A567C0" w:rsidP="00B058C9">
            <w:pPr>
              <w:pStyle w:val="ICASBody"/>
            </w:pPr>
          </w:p>
          <w:p w14:paraId="600214B6" w14:textId="77777777" w:rsidR="00494002" w:rsidRDefault="00494002" w:rsidP="00B058C9">
            <w:pPr>
              <w:pStyle w:val="ICASBody"/>
            </w:pPr>
          </w:p>
          <w:p w14:paraId="47C99160" w14:textId="77777777" w:rsidR="00494002" w:rsidRDefault="00494002" w:rsidP="00B058C9">
            <w:pPr>
              <w:pStyle w:val="ICASBody"/>
            </w:pPr>
          </w:p>
          <w:p w14:paraId="7A86CBA6" w14:textId="1BEC608A" w:rsidR="00A567C0" w:rsidRPr="000B5C12" w:rsidRDefault="00A567C0" w:rsidP="00B058C9">
            <w:pPr>
              <w:pStyle w:val="ICASBody"/>
            </w:pPr>
          </w:p>
        </w:tc>
        <w:tc>
          <w:tcPr>
            <w:tcW w:w="5635" w:type="dxa"/>
            <w:tcBorders>
              <w:bottom w:val="nil"/>
            </w:tcBorders>
          </w:tcPr>
          <w:p w14:paraId="4EA18616" w14:textId="77777777" w:rsidR="00A567C0" w:rsidRPr="000B5C12" w:rsidRDefault="00A567C0" w:rsidP="00B058C9">
            <w:pPr>
              <w:pStyle w:val="ICASBody"/>
            </w:pPr>
            <w:r w:rsidRPr="000B5C12">
              <w:t>IB regulations required documents to be kept for at least six years from the date they were made. This remains the case post-Financial Services and Markets Act (FSMA). Such information should be kept in a form that is readily available for inspection and easily printed.</w:t>
            </w:r>
          </w:p>
          <w:p w14:paraId="0D2250B9" w14:textId="60EE0369" w:rsidR="00494002" w:rsidRDefault="00A567C0" w:rsidP="00B058C9">
            <w:pPr>
              <w:pStyle w:val="ICASBody"/>
            </w:pPr>
            <w:r w:rsidRPr="000B5C12">
              <w:t xml:space="preserve">Under the FSMA, firms authorised directly by the FCA should refer to the FCA’s Sourcebook for specific retention periods. </w:t>
            </w:r>
          </w:p>
          <w:p w14:paraId="203F885B" w14:textId="20383664" w:rsidR="00A567C0" w:rsidRPr="000B5C12" w:rsidRDefault="00A567C0" w:rsidP="00E56F1C">
            <w:pPr>
              <w:pStyle w:val="ICASBody"/>
            </w:pPr>
            <w:r w:rsidRPr="000B5C12">
              <w:t>Firms holding DPB licences are expected to retain documents for a period of not less than six years (4.06 DPB Handbook).</w:t>
            </w:r>
          </w:p>
        </w:tc>
      </w:tr>
      <w:tr w:rsidR="00E56F1C" w:rsidRPr="000B5C12" w14:paraId="6EB0A6CC" w14:textId="77777777" w:rsidTr="00E56F1C">
        <w:tc>
          <w:tcPr>
            <w:tcW w:w="3227" w:type="dxa"/>
            <w:tcBorders>
              <w:top w:val="nil"/>
            </w:tcBorders>
          </w:tcPr>
          <w:p w14:paraId="2253F980" w14:textId="56404AF9" w:rsidR="00E56F1C" w:rsidRPr="000B5C12" w:rsidRDefault="00E56F1C" w:rsidP="00B058C9">
            <w:pPr>
              <w:pStyle w:val="ICASBody"/>
            </w:pPr>
            <w:r w:rsidRPr="000B5C12">
              <w:t>Records relating to pension transfers and opt-outs</w:t>
            </w:r>
          </w:p>
        </w:tc>
        <w:tc>
          <w:tcPr>
            <w:tcW w:w="5635" w:type="dxa"/>
            <w:tcBorders>
              <w:top w:val="nil"/>
            </w:tcBorders>
          </w:tcPr>
          <w:p w14:paraId="0A977002" w14:textId="42378113" w:rsidR="00E56F1C" w:rsidRPr="000B5C12" w:rsidRDefault="00E56F1C" w:rsidP="00B058C9">
            <w:pPr>
              <w:pStyle w:val="ICASBody"/>
            </w:pPr>
            <w:r w:rsidRPr="000B5C12">
              <w:t>Should be kept indefinitely (see old IB Regulations 3.35 and FCA Sourcebook as appropriate.</w:t>
            </w:r>
          </w:p>
        </w:tc>
      </w:tr>
    </w:tbl>
    <w:p w14:paraId="0A612727" w14:textId="77777777" w:rsidR="003156F2" w:rsidRPr="00BC099F" w:rsidRDefault="003156F2" w:rsidP="00330F7D">
      <w:pPr>
        <w:rPr>
          <w:szCs w:val="20"/>
        </w:rPr>
      </w:pPr>
    </w:p>
    <w:p w14:paraId="7F506402" w14:textId="75858D24" w:rsidR="00F605A9" w:rsidRDefault="00F605A9">
      <w:pPr>
        <w:rPr>
          <w:szCs w:val="20"/>
        </w:rPr>
      </w:pPr>
    </w:p>
    <w:sectPr w:rsidR="00F605A9" w:rsidSect="00C72BDE">
      <w:headerReference w:type="default" r:id="rId14"/>
      <w:footerReference w:type="default" r:id="rId15"/>
      <w:pgSz w:w="11910" w:h="16850"/>
      <w:pgMar w:top="1400" w:right="1278" w:bottom="1200" w:left="1300" w:header="72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A168B" w14:textId="77777777" w:rsidR="00552C91" w:rsidRDefault="00552C91">
      <w:r>
        <w:separator/>
      </w:r>
    </w:p>
  </w:endnote>
  <w:endnote w:type="continuationSeparator" w:id="0">
    <w:p w14:paraId="4582E00C" w14:textId="77777777" w:rsidR="00552C91" w:rsidRDefault="00552C91">
      <w:r>
        <w:continuationSeparator/>
      </w:r>
    </w:p>
  </w:endnote>
  <w:endnote w:type="continuationNotice" w:id="1">
    <w:p w14:paraId="6CA3016D" w14:textId="77777777" w:rsidR="00552C91" w:rsidRDefault="00552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BCA7" w14:textId="6C187C3A" w:rsidR="00033FD4" w:rsidRDefault="00033FD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38DF4" w14:textId="77777777" w:rsidR="00552C91" w:rsidRDefault="00552C91">
      <w:r>
        <w:separator/>
      </w:r>
    </w:p>
  </w:footnote>
  <w:footnote w:type="continuationSeparator" w:id="0">
    <w:p w14:paraId="3A42E83E" w14:textId="77777777" w:rsidR="00552C91" w:rsidRDefault="00552C91">
      <w:r>
        <w:continuationSeparator/>
      </w:r>
    </w:p>
  </w:footnote>
  <w:footnote w:type="continuationNotice" w:id="1">
    <w:p w14:paraId="76B2C470" w14:textId="77777777" w:rsidR="00552C91" w:rsidRDefault="00552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A32" w14:textId="6DD54D2C" w:rsidR="00DD2889" w:rsidRDefault="00A7336E">
    <w:pPr>
      <w:pStyle w:val="BodyText"/>
      <w:spacing w:line="14" w:lineRule="auto"/>
    </w:pPr>
    <w:r w:rsidRPr="00CC6145">
      <w:rPr>
        <w:noProof/>
        <w:color w:val="8493A8"/>
      </w:rPr>
      <w:drawing>
        <wp:anchor distT="0" distB="0" distL="114300" distR="114300" simplePos="0" relativeHeight="251658240" behindDoc="0" locked="0" layoutInCell="1" allowOverlap="1" wp14:anchorId="28E95D6F" wp14:editId="16D51600">
          <wp:simplePos x="0" y="0"/>
          <wp:positionH relativeFrom="margin">
            <wp:posOffset>5327374</wp:posOffset>
          </wp:positionH>
          <wp:positionV relativeFrom="paragraph">
            <wp:posOffset>-190224</wp:posOffset>
          </wp:positionV>
          <wp:extent cx="596265" cy="615950"/>
          <wp:effectExtent l="0" t="0" r="0" b="0"/>
          <wp:wrapThrough wrapText="bothSides">
            <wp:wrapPolygon edited="0">
              <wp:start x="690" y="0"/>
              <wp:lineTo x="0" y="668"/>
              <wp:lineTo x="0" y="20709"/>
              <wp:lineTo x="20013" y="20709"/>
              <wp:lineTo x="20703" y="19373"/>
              <wp:lineTo x="20703" y="0"/>
              <wp:lineTo x="690" y="0"/>
            </wp:wrapPolygon>
          </wp:wrapThrough>
          <wp:docPr id="1719887838" name="Picture 1719887838" descr="A blue square with white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7606" name="Picture 1" descr="A blue square with white lette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6265" cy="615950"/>
                  </a:xfrm>
                  <a:prstGeom prst="rect">
                    <a:avLst/>
                  </a:prstGeom>
                </pic:spPr>
              </pic:pic>
            </a:graphicData>
          </a:graphic>
          <wp14:sizeRelH relativeFrom="margin">
            <wp14:pctWidth>0</wp14:pctWidth>
          </wp14:sizeRelH>
          <wp14:sizeRelV relativeFrom="margin">
            <wp14:pctHeight>0</wp14:pctHeight>
          </wp14:sizeRelV>
        </wp:anchor>
      </w:drawing>
    </w:r>
  </w:p>
  <w:p w14:paraId="5776E989" w14:textId="0AB049D1" w:rsidR="00033FD4" w:rsidRDefault="00033FD4">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9410D"/>
    <w:multiLevelType w:val="hybridMultilevel"/>
    <w:tmpl w:val="75BE65D0"/>
    <w:lvl w:ilvl="0" w:tplc="6C86EA34">
      <w:numFmt w:val="bullet"/>
      <w:lvlText w:val="•"/>
      <w:lvlJc w:val="left"/>
      <w:pPr>
        <w:ind w:left="720" w:hanging="360"/>
      </w:pPr>
      <w:rPr>
        <w:rFonts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4629AA"/>
    <w:multiLevelType w:val="hybridMultilevel"/>
    <w:tmpl w:val="C032D80E"/>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269AD"/>
    <w:multiLevelType w:val="hybridMultilevel"/>
    <w:tmpl w:val="D3BC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72EC9"/>
    <w:multiLevelType w:val="hybridMultilevel"/>
    <w:tmpl w:val="075A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5687B"/>
    <w:multiLevelType w:val="hybridMultilevel"/>
    <w:tmpl w:val="E7180A2E"/>
    <w:lvl w:ilvl="0" w:tplc="24727794">
      <w:start w:val="1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E48AB"/>
    <w:multiLevelType w:val="hybridMultilevel"/>
    <w:tmpl w:val="2668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40AD0"/>
    <w:multiLevelType w:val="hybridMultilevel"/>
    <w:tmpl w:val="60BEB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F40C0"/>
    <w:multiLevelType w:val="hybridMultilevel"/>
    <w:tmpl w:val="AEC2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D38F1"/>
    <w:multiLevelType w:val="hybridMultilevel"/>
    <w:tmpl w:val="59A6A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70C1D"/>
    <w:multiLevelType w:val="hybridMultilevel"/>
    <w:tmpl w:val="86FAB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745B42"/>
    <w:multiLevelType w:val="hybridMultilevel"/>
    <w:tmpl w:val="25E64F42"/>
    <w:lvl w:ilvl="0" w:tplc="EBF80BFE">
      <w:start w:val="1"/>
      <w:numFmt w:val="bullet"/>
      <w:pStyle w:val="Title"/>
      <w:lvlText w:val=""/>
      <w:lvlJc w:val="left"/>
      <w:pPr>
        <w:ind w:left="720" w:hanging="360"/>
      </w:pPr>
      <w:rPr>
        <w:rFonts w:ascii="Symbol" w:hAnsi="Symbol" w:hint="default"/>
        <w:color w:val="4D46D9"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B67C1C"/>
    <w:multiLevelType w:val="hybridMultilevel"/>
    <w:tmpl w:val="26CE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267B7"/>
    <w:multiLevelType w:val="hybridMultilevel"/>
    <w:tmpl w:val="4568F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F334C0"/>
    <w:multiLevelType w:val="hybridMultilevel"/>
    <w:tmpl w:val="E2240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E325F4"/>
    <w:multiLevelType w:val="hybridMultilevel"/>
    <w:tmpl w:val="8A28CBCC"/>
    <w:lvl w:ilvl="0" w:tplc="E0501802">
      <w:numFmt w:val="bullet"/>
      <w:lvlText w:val=""/>
      <w:lvlJc w:val="left"/>
      <w:pPr>
        <w:ind w:left="838" w:hanging="360"/>
      </w:pPr>
      <w:rPr>
        <w:rFonts w:ascii="Symbol" w:eastAsia="Symbol" w:hAnsi="Symbol" w:cs="Symbol" w:hint="default"/>
        <w:w w:val="99"/>
        <w:sz w:val="20"/>
        <w:szCs w:val="20"/>
        <w:lang w:val="en-US" w:eastAsia="en-US" w:bidi="en-US"/>
      </w:rPr>
    </w:lvl>
    <w:lvl w:ilvl="1" w:tplc="6C86EA34">
      <w:numFmt w:val="bullet"/>
      <w:lvlText w:val="•"/>
      <w:lvlJc w:val="left"/>
      <w:pPr>
        <w:ind w:left="1756" w:hanging="360"/>
      </w:pPr>
      <w:rPr>
        <w:rFonts w:hint="default"/>
        <w:lang w:val="en-US" w:eastAsia="en-US" w:bidi="en-US"/>
      </w:rPr>
    </w:lvl>
    <w:lvl w:ilvl="2" w:tplc="8E9EA608">
      <w:numFmt w:val="bullet"/>
      <w:lvlText w:val="•"/>
      <w:lvlJc w:val="left"/>
      <w:pPr>
        <w:ind w:left="2673" w:hanging="360"/>
      </w:pPr>
      <w:rPr>
        <w:rFonts w:hint="default"/>
        <w:lang w:val="en-US" w:eastAsia="en-US" w:bidi="en-US"/>
      </w:rPr>
    </w:lvl>
    <w:lvl w:ilvl="3" w:tplc="F9FAA308">
      <w:numFmt w:val="bullet"/>
      <w:lvlText w:val="•"/>
      <w:lvlJc w:val="left"/>
      <w:pPr>
        <w:ind w:left="3589" w:hanging="360"/>
      </w:pPr>
      <w:rPr>
        <w:rFonts w:hint="default"/>
        <w:lang w:val="en-US" w:eastAsia="en-US" w:bidi="en-US"/>
      </w:rPr>
    </w:lvl>
    <w:lvl w:ilvl="4" w:tplc="E154172A">
      <w:numFmt w:val="bullet"/>
      <w:lvlText w:val="•"/>
      <w:lvlJc w:val="left"/>
      <w:pPr>
        <w:ind w:left="4506" w:hanging="360"/>
      </w:pPr>
      <w:rPr>
        <w:rFonts w:hint="default"/>
        <w:lang w:val="en-US" w:eastAsia="en-US" w:bidi="en-US"/>
      </w:rPr>
    </w:lvl>
    <w:lvl w:ilvl="5" w:tplc="F9A6D7D6">
      <w:numFmt w:val="bullet"/>
      <w:lvlText w:val="•"/>
      <w:lvlJc w:val="left"/>
      <w:pPr>
        <w:ind w:left="5423" w:hanging="360"/>
      </w:pPr>
      <w:rPr>
        <w:rFonts w:hint="default"/>
        <w:lang w:val="en-US" w:eastAsia="en-US" w:bidi="en-US"/>
      </w:rPr>
    </w:lvl>
    <w:lvl w:ilvl="6" w:tplc="E06C3882">
      <w:numFmt w:val="bullet"/>
      <w:lvlText w:val="•"/>
      <w:lvlJc w:val="left"/>
      <w:pPr>
        <w:ind w:left="6339" w:hanging="360"/>
      </w:pPr>
      <w:rPr>
        <w:rFonts w:hint="default"/>
        <w:lang w:val="en-US" w:eastAsia="en-US" w:bidi="en-US"/>
      </w:rPr>
    </w:lvl>
    <w:lvl w:ilvl="7" w:tplc="25FCAB82">
      <w:numFmt w:val="bullet"/>
      <w:lvlText w:val="•"/>
      <w:lvlJc w:val="left"/>
      <w:pPr>
        <w:ind w:left="7256" w:hanging="360"/>
      </w:pPr>
      <w:rPr>
        <w:rFonts w:hint="default"/>
        <w:lang w:val="en-US" w:eastAsia="en-US" w:bidi="en-US"/>
      </w:rPr>
    </w:lvl>
    <w:lvl w:ilvl="8" w:tplc="2C9CDB8E">
      <w:numFmt w:val="bullet"/>
      <w:lvlText w:val="•"/>
      <w:lvlJc w:val="left"/>
      <w:pPr>
        <w:ind w:left="8173" w:hanging="360"/>
      </w:pPr>
      <w:rPr>
        <w:rFonts w:hint="default"/>
        <w:lang w:val="en-US" w:eastAsia="en-US" w:bidi="en-US"/>
      </w:rPr>
    </w:lvl>
  </w:abstractNum>
  <w:num w:numId="1" w16cid:durableId="1977565371">
    <w:abstractNumId w:val="14"/>
  </w:num>
  <w:num w:numId="2" w16cid:durableId="1691954141">
    <w:abstractNumId w:val="5"/>
  </w:num>
  <w:num w:numId="3" w16cid:durableId="479537287">
    <w:abstractNumId w:val="2"/>
  </w:num>
  <w:num w:numId="4" w16cid:durableId="605114645">
    <w:abstractNumId w:val="11"/>
  </w:num>
  <w:num w:numId="5" w16cid:durableId="489635373">
    <w:abstractNumId w:val="6"/>
  </w:num>
  <w:num w:numId="6" w16cid:durableId="823476130">
    <w:abstractNumId w:val="12"/>
  </w:num>
  <w:num w:numId="7" w16cid:durableId="1840534910">
    <w:abstractNumId w:val="3"/>
  </w:num>
  <w:num w:numId="8" w16cid:durableId="1710298693">
    <w:abstractNumId w:val="13"/>
  </w:num>
  <w:num w:numId="9" w16cid:durableId="465973484">
    <w:abstractNumId w:val="8"/>
  </w:num>
  <w:num w:numId="10" w16cid:durableId="1530412811">
    <w:abstractNumId w:val="7"/>
  </w:num>
  <w:num w:numId="11" w16cid:durableId="2001882917">
    <w:abstractNumId w:val="4"/>
  </w:num>
  <w:num w:numId="12" w16cid:durableId="1256286412">
    <w:abstractNumId w:val="0"/>
  </w:num>
  <w:num w:numId="13" w16cid:durableId="934636166">
    <w:abstractNumId w:val="9"/>
  </w:num>
  <w:num w:numId="14" w16cid:durableId="585119039">
    <w:abstractNumId w:val="1"/>
  </w:num>
  <w:num w:numId="15" w16cid:durableId="1641494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033FD4"/>
    <w:rsid w:val="00001F31"/>
    <w:rsid w:val="000053E6"/>
    <w:rsid w:val="00005787"/>
    <w:rsid w:val="0001008B"/>
    <w:rsid w:val="00010CD7"/>
    <w:rsid w:val="0001328F"/>
    <w:rsid w:val="0002330A"/>
    <w:rsid w:val="00023760"/>
    <w:rsid w:val="00023D06"/>
    <w:rsid w:val="00026B6A"/>
    <w:rsid w:val="00033FD4"/>
    <w:rsid w:val="00037859"/>
    <w:rsid w:val="00042344"/>
    <w:rsid w:val="00043567"/>
    <w:rsid w:val="0004533C"/>
    <w:rsid w:val="000561FB"/>
    <w:rsid w:val="000622B2"/>
    <w:rsid w:val="0007051C"/>
    <w:rsid w:val="000754B7"/>
    <w:rsid w:val="00076335"/>
    <w:rsid w:val="000829F4"/>
    <w:rsid w:val="00091702"/>
    <w:rsid w:val="00094392"/>
    <w:rsid w:val="000A16E1"/>
    <w:rsid w:val="000A5C57"/>
    <w:rsid w:val="000A6B60"/>
    <w:rsid w:val="000A73F9"/>
    <w:rsid w:val="000B5C12"/>
    <w:rsid w:val="000B606F"/>
    <w:rsid w:val="000B6454"/>
    <w:rsid w:val="000C0DC6"/>
    <w:rsid w:val="000C248F"/>
    <w:rsid w:val="000D10CF"/>
    <w:rsid w:val="000D1B1E"/>
    <w:rsid w:val="000D3CA3"/>
    <w:rsid w:val="000D4804"/>
    <w:rsid w:val="000D4E04"/>
    <w:rsid w:val="000E1BC2"/>
    <w:rsid w:val="000E717C"/>
    <w:rsid w:val="000F40F3"/>
    <w:rsid w:val="000F5D2A"/>
    <w:rsid w:val="00101ED5"/>
    <w:rsid w:val="00102D73"/>
    <w:rsid w:val="00110C3C"/>
    <w:rsid w:val="00116FC5"/>
    <w:rsid w:val="00117F16"/>
    <w:rsid w:val="001207CE"/>
    <w:rsid w:val="00124BE9"/>
    <w:rsid w:val="00125893"/>
    <w:rsid w:val="001266A7"/>
    <w:rsid w:val="0012685A"/>
    <w:rsid w:val="00127813"/>
    <w:rsid w:val="001301D5"/>
    <w:rsid w:val="00131B5F"/>
    <w:rsid w:val="0013342E"/>
    <w:rsid w:val="00135E8C"/>
    <w:rsid w:val="00135E93"/>
    <w:rsid w:val="0014175A"/>
    <w:rsid w:val="00144954"/>
    <w:rsid w:val="00144CEF"/>
    <w:rsid w:val="001478FC"/>
    <w:rsid w:val="001510A7"/>
    <w:rsid w:val="00155AF5"/>
    <w:rsid w:val="00164C3E"/>
    <w:rsid w:val="001705B4"/>
    <w:rsid w:val="00171AC4"/>
    <w:rsid w:val="00176492"/>
    <w:rsid w:val="00176D9A"/>
    <w:rsid w:val="00181328"/>
    <w:rsid w:val="001845D2"/>
    <w:rsid w:val="00184983"/>
    <w:rsid w:val="00193622"/>
    <w:rsid w:val="00195076"/>
    <w:rsid w:val="001A3E48"/>
    <w:rsid w:val="001A44C3"/>
    <w:rsid w:val="001B2564"/>
    <w:rsid w:val="001B4D19"/>
    <w:rsid w:val="001B60A9"/>
    <w:rsid w:val="001C24AD"/>
    <w:rsid w:val="001C5E3F"/>
    <w:rsid w:val="001C746C"/>
    <w:rsid w:val="001D51DF"/>
    <w:rsid w:val="001D5AC7"/>
    <w:rsid w:val="001D6B1D"/>
    <w:rsid w:val="001F61BB"/>
    <w:rsid w:val="001F6F7F"/>
    <w:rsid w:val="00200B1A"/>
    <w:rsid w:val="00200EBC"/>
    <w:rsid w:val="00201750"/>
    <w:rsid w:val="00204F8B"/>
    <w:rsid w:val="00205136"/>
    <w:rsid w:val="00206209"/>
    <w:rsid w:val="00213D04"/>
    <w:rsid w:val="00215FF8"/>
    <w:rsid w:val="002228F0"/>
    <w:rsid w:val="00223989"/>
    <w:rsid w:val="00224B9B"/>
    <w:rsid w:val="00226AAD"/>
    <w:rsid w:val="002302B1"/>
    <w:rsid w:val="00233789"/>
    <w:rsid w:val="00235F7A"/>
    <w:rsid w:val="00236EA3"/>
    <w:rsid w:val="002407F8"/>
    <w:rsid w:val="00243463"/>
    <w:rsid w:val="002513A7"/>
    <w:rsid w:val="00256474"/>
    <w:rsid w:val="002608C1"/>
    <w:rsid w:val="00266934"/>
    <w:rsid w:val="00272EB8"/>
    <w:rsid w:val="002737D7"/>
    <w:rsid w:val="00275DFE"/>
    <w:rsid w:val="002856AB"/>
    <w:rsid w:val="002A23BA"/>
    <w:rsid w:val="002A247D"/>
    <w:rsid w:val="002A30D1"/>
    <w:rsid w:val="002A40D9"/>
    <w:rsid w:val="002A4EC1"/>
    <w:rsid w:val="002A6FBF"/>
    <w:rsid w:val="002A75A6"/>
    <w:rsid w:val="002A7E4E"/>
    <w:rsid w:val="002B14E5"/>
    <w:rsid w:val="002B47BA"/>
    <w:rsid w:val="002B7E62"/>
    <w:rsid w:val="002C108D"/>
    <w:rsid w:val="002C3CD7"/>
    <w:rsid w:val="002C6E18"/>
    <w:rsid w:val="002D011A"/>
    <w:rsid w:val="002D346D"/>
    <w:rsid w:val="002E5B9D"/>
    <w:rsid w:val="002E7AD6"/>
    <w:rsid w:val="002E7BFC"/>
    <w:rsid w:val="002F7B05"/>
    <w:rsid w:val="00301863"/>
    <w:rsid w:val="00304AE0"/>
    <w:rsid w:val="00304B04"/>
    <w:rsid w:val="00306476"/>
    <w:rsid w:val="00312AB9"/>
    <w:rsid w:val="00312F4A"/>
    <w:rsid w:val="003156F2"/>
    <w:rsid w:val="00315D0A"/>
    <w:rsid w:val="00317ED2"/>
    <w:rsid w:val="00324012"/>
    <w:rsid w:val="00330F7D"/>
    <w:rsid w:val="003324E4"/>
    <w:rsid w:val="003367F0"/>
    <w:rsid w:val="00344EAC"/>
    <w:rsid w:val="00345281"/>
    <w:rsid w:val="003454B9"/>
    <w:rsid w:val="00345B13"/>
    <w:rsid w:val="00350898"/>
    <w:rsid w:val="00350EEA"/>
    <w:rsid w:val="003513F8"/>
    <w:rsid w:val="00354F94"/>
    <w:rsid w:val="00356739"/>
    <w:rsid w:val="00356EA1"/>
    <w:rsid w:val="00363D39"/>
    <w:rsid w:val="00364568"/>
    <w:rsid w:val="00372465"/>
    <w:rsid w:val="00374212"/>
    <w:rsid w:val="00374CBE"/>
    <w:rsid w:val="00374F9D"/>
    <w:rsid w:val="003833BC"/>
    <w:rsid w:val="00383C9A"/>
    <w:rsid w:val="00384C76"/>
    <w:rsid w:val="003858B8"/>
    <w:rsid w:val="00393E9A"/>
    <w:rsid w:val="00395ABA"/>
    <w:rsid w:val="00396DC8"/>
    <w:rsid w:val="00397316"/>
    <w:rsid w:val="003A1C17"/>
    <w:rsid w:val="003A4C07"/>
    <w:rsid w:val="003B0D60"/>
    <w:rsid w:val="003B1AC1"/>
    <w:rsid w:val="003B6099"/>
    <w:rsid w:val="003B6889"/>
    <w:rsid w:val="003C04A4"/>
    <w:rsid w:val="003C4357"/>
    <w:rsid w:val="003C5CBE"/>
    <w:rsid w:val="003C5E5A"/>
    <w:rsid w:val="003C628E"/>
    <w:rsid w:val="003C66B7"/>
    <w:rsid w:val="003D3A04"/>
    <w:rsid w:val="003D3A7F"/>
    <w:rsid w:val="003E1716"/>
    <w:rsid w:val="003E4E68"/>
    <w:rsid w:val="003E6E03"/>
    <w:rsid w:val="003F692B"/>
    <w:rsid w:val="00400175"/>
    <w:rsid w:val="0040042F"/>
    <w:rsid w:val="0040437F"/>
    <w:rsid w:val="00410450"/>
    <w:rsid w:val="004111A9"/>
    <w:rsid w:val="004145F0"/>
    <w:rsid w:val="00415643"/>
    <w:rsid w:val="00417655"/>
    <w:rsid w:val="004233F4"/>
    <w:rsid w:val="0042456B"/>
    <w:rsid w:val="004253F7"/>
    <w:rsid w:val="00426CA5"/>
    <w:rsid w:val="00427129"/>
    <w:rsid w:val="00431D32"/>
    <w:rsid w:val="00437725"/>
    <w:rsid w:val="0044193B"/>
    <w:rsid w:val="004429B3"/>
    <w:rsid w:val="004456CD"/>
    <w:rsid w:val="0044691A"/>
    <w:rsid w:val="00451393"/>
    <w:rsid w:val="00455A70"/>
    <w:rsid w:val="00457590"/>
    <w:rsid w:val="004635B5"/>
    <w:rsid w:val="004657D3"/>
    <w:rsid w:val="004665E4"/>
    <w:rsid w:val="004727C9"/>
    <w:rsid w:val="004832FE"/>
    <w:rsid w:val="004879F9"/>
    <w:rsid w:val="0049142A"/>
    <w:rsid w:val="00492BFF"/>
    <w:rsid w:val="00494002"/>
    <w:rsid w:val="004949A7"/>
    <w:rsid w:val="004960A2"/>
    <w:rsid w:val="00497684"/>
    <w:rsid w:val="004A0A4C"/>
    <w:rsid w:val="004A1FFB"/>
    <w:rsid w:val="004A55EF"/>
    <w:rsid w:val="004B0DF0"/>
    <w:rsid w:val="004B3FA6"/>
    <w:rsid w:val="004C189F"/>
    <w:rsid w:val="004C3273"/>
    <w:rsid w:val="004C65B3"/>
    <w:rsid w:val="004D05C8"/>
    <w:rsid w:val="004D42E8"/>
    <w:rsid w:val="004D5060"/>
    <w:rsid w:val="004E054C"/>
    <w:rsid w:val="004E2DB2"/>
    <w:rsid w:val="004E5E63"/>
    <w:rsid w:val="004F072F"/>
    <w:rsid w:val="004F30C7"/>
    <w:rsid w:val="004F6EC0"/>
    <w:rsid w:val="00505B60"/>
    <w:rsid w:val="0050674C"/>
    <w:rsid w:val="005164D1"/>
    <w:rsid w:val="0052485F"/>
    <w:rsid w:val="0052634A"/>
    <w:rsid w:val="00527083"/>
    <w:rsid w:val="0053116D"/>
    <w:rsid w:val="00533FF7"/>
    <w:rsid w:val="005361F3"/>
    <w:rsid w:val="00536763"/>
    <w:rsid w:val="0053753A"/>
    <w:rsid w:val="00537B8D"/>
    <w:rsid w:val="00540543"/>
    <w:rsid w:val="005414C8"/>
    <w:rsid w:val="00544DD3"/>
    <w:rsid w:val="00545AC0"/>
    <w:rsid w:val="00552755"/>
    <w:rsid w:val="00552C91"/>
    <w:rsid w:val="005564CD"/>
    <w:rsid w:val="005649F1"/>
    <w:rsid w:val="00567782"/>
    <w:rsid w:val="00571231"/>
    <w:rsid w:val="00573D0F"/>
    <w:rsid w:val="00582305"/>
    <w:rsid w:val="00585EF7"/>
    <w:rsid w:val="00590141"/>
    <w:rsid w:val="00594ED1"/>
    <w:rsid w:val="00596C10"/>
    <w:rsid w:val="00597EF3"/>
    <w:rsid w:val="005A0431"/>
    <w:rsid w:val="005A0761"/>
    <w:rsid w:val="005B0B8D"/>
    <w:rsid w:val="005B6584"/>
    <w:rsid w:val="005C53E0"/>
    <w:rsid w:val="005C5BE6"/>
    <w:rsid w:val="005C77C0"/>
    <w:rsid w:val="005D32FA"/>
    <w:rsid w:val="005D4B81"/>
    <w:rsid w:val="005D67B5"/>
    <w:rsid w:val="005E0666"/>
    <w:rsid w:val="005E6B1F"/>
    <w:rsid w:val="005F18E8"/>
    <w:rsid w:val="005F2482"/>
    <w:rsid w:val="005F2837"/>
    <w:rsid w:val="005F3962"/>
    <w:rsid w:val="005F4544"/>
    <w:rsid w:val="00601563"/>
    <w:rsid w:val="006049EF"/>
    <w:rsid w:val="00604BC7"/>
    <w:rsid w:val="0061339A"/>
    <w:rsid w:val="0061619B"/>
    <w:rsid w:val="006164E2"/>
    <w:rsid w:val="00620F6C"/>
    <w:rsid w:val="00622451"/>
    <w:rsid w:val="00624E17"/>
    <w:rsid w:val="00626604"/>
    <w:rsid w:val="00626E6A"/>
    <w:rsid w:val="00627047"/>
    <w:rsid w:val="00633D1F"/>
    <w:rsid w:val="006365BA"/>
    <w:rsid w:val="006379B1"/>
    <w:rsid w:val="00640F8D"/>
    <w:rsid w:val="00644904"/>
    <w:rsid w:val="006457F3"/>
    <w:rsid w:val="00647DD1"/>
    <w:rsid w:val="00655812"/>
    <w:rsid w:val="006612F1"/>
    <w:rsid w:val="006653A5"/>
    <w:rsid w:val="00665B39"/>
    <w:rsid w:val="00666C24"/>
    <w:rsid w:val="006805F2"/>
    <w:rsid w:val="00684468"/>
    <w:rsid w:val="006926E0"/>
    <w:rsid w:val="00693C4A"/>
    <w:rsid w:val="00695B43"/>
    <w:rsid w:val="00696D1C"/>
    <w:rsid w:val="0069709C"/>
    <w:rsid w:val="006975EF"/>
    <w:rsid w:val="006A0221"/>
    <w:rsid w:val="006A2E6F"/>
    <w:rsid w:val="006A5697"/>
    <w:rsid w:val="006A5AA6"/>
    <w:rsid w:val="006B0916"/>
    <w:rsid w:val="006B246D"/>
    <w:rsid w:val="006B3711"/>
    <w:rsid w:val="006B4545"/>
    <w:rsid w:val="006B475F"/>
    <w:rsid w:val="006B5BAA"/>
    <w:rsid w:val="006B7C2D"/>
    <w:rsid w:val="006C0F0E"/>
    <w:rsid w:val="006C4817"/>
    <w:rsid w:val="006D69E9"/>
    <w:rsid w:val="006D757C"/>
    <w:rsid w:val="006D7691"/>
    <w:rsid w:val="006F10E6"/>
    <w:rsid w:val="006F2BCC"/>
    <w:rsid w:val="006F745E"/>
    <w:rsid w:val="006F7D1A"/>
    <w:rsid w:val="0071081A"/>
    <w:rsid w:val="007135AE"/>
    <w:rsid w:val="00716FCA"/>
    <w:rsid w:val="00717738"/>
    <w:rsid w:val="00720886"/>
    <w:rsid w:val="00721B63"/>
    <w:rsid w:val="007242D4"/>
    <w:rsid w:val="007329FC"/>
    <w:rsid w:val="00734411"/>
    <w:rsid w:val="00741BFA"/>
    <w:rsid w:val="00744642"/>
    <w:rsid w:val="00745D73"/>
    <w:rsid w:val="0074626D"/>
    <w:rsid w:val="007603EF"/>
    <w:rsid w:val="00761BDE"/>
    <w:rsid w:val="00764576"/>
    <w:rsid w:val="007655F4"/>
    <w:rsid w:val="00771012"/>
    <w:rsid w:val="0077137D"/>
    <w:rsid w:val="0077666E"/>
    <w:rsid w:val="0078186D"/>
    <w:rsid w:val="0078456E"/>
    <w:rsid w:val="00790EB2"/>
    <w:rsid w:val="00792C70"/>
    <w:rsid w:val="007B2B30"/>
    <w:rsid w:val="007B40B3"/>
    <w:rsid w:val="007B67EF"/>
    <w:rsid w:val="007C6C5B"/>
    <w:rsid w:val="007C6CF5"/>
    <w:rsid w:val="007D3313"/>
    <w:rsid w:val="007D4DB7"/>
    <w:rsid w:val="007D7B4B"/>
    <w:rsid w:val="007D7E53"/>
    <w:rsid w:val="007E02CF"/>
    <w:rsid w:val="007E36BE"/>
    <w:rsid w:val="007E6B8C"/>
    <w:rsid w:val="007E7977"/>
    <w:rsid w:val="007E79B1"/>
    <w:rsid w:val="007F0B05"/>
    <w:rsid w:val="007F1E63"/>
    <w:rsid w:val="007F54D7"/>
    <w:rsid w:val="007F5847"/>
    <w:rsid w:val="007F7699"/>
    <w:rsid w:val="007F76D7"/>
    <w:rsid w:val="008070C5"/>
    <w:rsid w:val="0081154D"/>
    <w:rsid w:val="008121BF"/>
    <w:rsid w:val="00813B3F"/>
    <w:rsid w:val="00816A71"/>
    <w:rsid w:val="00822FCB"/>
    <w:rsid w:val="0082320C"/>
    <w:rsid w:val="00824376"/>
    <w:rsid w:val="008247B0"/>
    <w:rsid w:val="00826070"/>
    <w:rsid w:val="008318FF"/>
    <w:rsid w:val="0083306F"/>
    <w:rsid w:val="008345AA"/>
    <w:rsid w:val="00837B6E"/>
    <w:rsid w:val="008404B2"/>
    <w:rsid w:val="00842E79"/>
    <w:rsid w:val="00843584"/>
    <w:rsid w:val="0084597B"/>
    <w:rsid w:val="00847DAF"/>
    <w:rsid w:val="00854616"/>
    <w:rsid w:val="0085540F"/>
    <w:rsid w:val="00862874"/>
    <w:rsid w:val="00862EF8"/>
    <w:rsid w:val="00865765"/>
    <w:rsid w:val="008668A6"/>
    <w:rsid w:val="00870C41"/>
    <w:rsid w:val="0087157F"/>
    <w:rsid w:val="00872464"/>
    <w:rsid w:val="008745A3"/>
    <w:rsid w:val="00875B84"/>
    <w:rsid w:val="0088034D"/>
    <w:rsid w:val="00880E84"/>
    <w:rsid w:val="008816DD"/>
    <w:rsid w:val="008923DF"/>
    <w:rsid w:val="00893A74"/>
    <w:rsid w:val="008A1834"/>
    <w:rsid w:val="008B6590"/>
    <w:rsid w:val="008B6D2E"/>
    <w:rsid w:val="008C6347"/>
    <w:rsid w:val="008C668B"/>
    <w:rsid w:val="008C6C98"/>
    <w:rsid w:val="008C71DB"/>
    <w:rsid w:val="008D0C26"/>
    <w:rsid w:val="008D22A1"/>
    <w:rsid w:val="008D247B"/>
    <w:rsid w:val="008D339E"/>
    <w:rsid w:val="008D42F9"/>
    <w:rsid w:val="008D7706"/>
    <w:rsid w:val="008E0799"/>
    <w:rsid w:val="008E1064"/>
    <w:rsid w:val="008E18C5"/>
    <w:rsid w:val="008E6E01"/>
    <w:rsid w:val="008F35C2"/>
    <w:rsid w:val="008F7A78"/>
    <w:rsid w:val="00900B1D"/>
    <w:rsid w:val="009020E1"/>
    <w:rsid w:val="00905824"/>
    <w:rsid w:val="00905897"/>
    <w:rsid w:val="00905DE4"/>
    <w:rsid w:val="00910084"/>
    <w:rsid w:val="009105A2"/>
    <w:rsid w:val="009208E5"/>
    <w:rsid w:val="0092586F"/>
    <w:rsid w:val="009312EF"/>
    <w:rsid w:val="00932978"/>
    <w:rsid w:val="009401B9"/>
    <w:rsid w:val="0094064D"/>
    <w:rsid w:val="0094101F"/>
    <w:rsid w:val="00943158"/>
    <w:rsid w:val="00954EC4"/>
    <w:rsid w:val="009562C0"/>
    <w:rsid w:val="00973652"/>
    <w:rsid w:val="00975298"/>
    <w:rsid w:val="0098039B"/>
    <w:rsid w:val="0098443D"/>
    <w:rsid w:val="00984CBB"/>
    <w:rsid w:val="00992253"/>
    <w:rsid w:val="00993BF6"/>
    <w:rsid w:val="009A119B"/>
    <w:rsid w:val="009A6B07"/>
    <w:rsid w:val="009A7DCB"/>
    <w:rsid w:val="009B168D"/>
    <w:rsid w:val="009B4398"/>
    <w:rsid w:val="009B53EA"/>
    <w:rsid w:val="009C294E"/>
    <w:rsid w:val="009D08EC"/>
    <w:rsid w:val="009D144D"/>
    <w:rsid w:val="009D6F71"/>
    <w:rsid w:val="009E75E7"/>
    <w:rsid w:val="009F07DC"/>
    <w:rsid w:val="009F193E"/>
    <w:rsid w:val="009F2E5C"/>
    <w:rsid w:val="009F6F30"/>
    <w:rsid w:val="00A005DA"/>
    <w:rsid w:val="00A0198D"/>
    <w:rsid w:val="00A04EE3"/>
    <w:rsid w:val="00A06346"/>
    <w:rsid w:val="00A21406"/>
    <w:rsid w:val="00A2167A"/>
    <w:rsid w:val="00A21E89"/>
    <w:rsid w:val="00A32CBB"/>
    <w:rsid w:val="00A3427E"/>
    <w:rsid w:val="00A40A84"/>
    <w:rsid w:val="00A425C9"/>
    <w:rsid w:val="00A42F9D"/>
    <w:rsid w:val="00A5209E"/>
    <w:rsid w:val="00A54F93"/>
    <w:rsid w:val="00A555DA"/>
    <w:rsid w:val="00A567C0"/>
    <w:rsid w:val="00A579EA"/>
    <w:rsid w:val="00A6409F"/>
    <w:rsid w:val="00A72B84"/>
    <w:rsid w:val="00A7336E"/>
    <w:rsid w:val="00A75359"/>
    <w:rsid w:val="00A7749C"/>
    <w:rsid w:val="00A80510"/>
    <w:rsid w:val="00A84DDD"/>
    <w:rsid w:val="00A84EC1"/>
    <w:rsid w:val="00A9151B"/>
    <w:rsid w:val="00A977E3"/>
    <w:rsid w:val="00AA330F"/>
    <w:rsid w:val="00AB0DB1"/>
    <w:rsid w:val="00AB3B8C"/>
    <w:rsid w:val="00AB6A93"/>
    <w:rsid w:val="00AD0BDA"/>
    <w:rsid w:val="00AD36DC"/>
    <w:rsid w:val="00AD40A3"/>
    <w:rsid w:val="00AD6215"/>
    <w:rsid w:val="00AD6AE6"/>
    <w:rsid w:val="00AE0A67"/>
    <w:rsid w:val="00AE37E3"/>
    <w:rsid w:val="00AE74B9"/>
    <w:rsid w:val="00AF005C"/>
    <w:rsid w:val="00AF0F3D"/>
    <w:rsid w:val="00AF158F"/>
    <w:rsid w:val="00AF384C"/>
    <w:rsid w:val="00AF5828"/>
    <w:rsid w:val="00AF5AA6"/>
    <w:rsid w:val="00B018A0"/>
    <w:rsid w:val="00B02B80"/>
    <w:rsid w:val="00B058C9"/>
    <w:rsid w:val="00B06BD1"/>
    <w:rsid w:val="00B07B21"/>
    <w:rsid w:val="00B13862"/>
    <w:rsid w:val="00B22123"/>
    <w:rsid w:val="00B242C9"/>
    <w:rsid w:val="00B3154B"/>
    <w:rsid w:val="00B32BE1"/>
    <w:rsid w:val="00B40F71"/>
    <w:rsid w:val="00B41B69"/>
    <w:rsid w:val="00B56370"/>
    <w:rsid w:val="00B56F61"/>
    <w:rsid w:val="00B6250C"/>
    <w:rsid w:val="00B66A42"/>
    <w:rsid w:val="00B74EC5"/>
    <w:rsid w:val="00B75481"/>
    <w:rsid w:val="00B80781"/>
    <w:rsid w:val="00BB13A5"/>
    <w:rsid w:val="00BB1405"/>
    <w:rsid w:val="00BB2FB2"/>
    <w:rsid w:val="00BC099F"/>
    <w:rsid w:val="00BD1DDD"/>
    <w:rsid w:val="00BD51AB"/>
    <w:rsid w:val="00BD5FF7"/>
    <w:rsid w:val="00BD799A"/>
    <w:rsid w:val="00BE13C6"/>
    <w:rsid w:val="00BE4068"/>
    <w:rsid w:val="00BE6582"/>
    <w:rsid w:val="00BF05FC"/>
    <w:rsid w:val="00BF2C64"/>
    <w:rsid w:val="00BF5CD7"/>
    <w:rsid w:val="00BF6F8F"/>
    <w:rsid w:val="00C02897"/>
    <w:rsid w:val="00C03F92"/>
    <w:rsid w:val="00C04BD1"/>
    <w:rsid w:val="00C11415"/>
    <w:rsid w:val="00C11C24"/>
    <w:rsid w:val="00C11E5F"/>
    <w:rsid w:val="00C120B1"/>
    <w:rsid w:val="00C33C59"/>
    <w:rsid w:val="00C46860"/>
    <w:rsid w:val="00C4767E"/>
    <w:rsid w:val="00C50A09"/>
    <w:rsid w:val="00C52813"/>
    <w:rsid w:val="00C54056"/>
    <w:rsid w:val="00C56A40"/>
    <w:rsid w:val="00C5753F"/>
    <w:rsid w:val="00C57C24"/>
    <w:rsid w:val="00C6017D"/>
    <w:rsid w:val="00C63F60"/>
    <w:rsid w:val="00C70F4F"/>
    <w:rsid w:val="00C7292D"/>
    <w:rsid w:val="00C72BDE"/>
    <w:rsid w:val="00C7339B"/>
    <w:rsid w:val="00C77374"/>
    <w:rsid w:val="00C83BDA"/>
    <w:rsid w:val="00C92259"/>
    <w:rsid w:val="00C92334"/>
    <w:rsid w:val="00CA07AF"/>
    <w:rsid w:val="00CA4323"/>
    <w:rsid w:val="00CA646F"/>
    <w:rsid w:val="00CB18DC"/>
    <w:rsid w:val="00CB3B00"/>
    <w:rsid w:val="00CC069B"/>
    <w:rsid w:val="00CC07D6"/>
    <w:rsid w:val="00CC6561"/>
    <w:rsid w:val="00CC76FA"/>
    <w:rsid w:val="00CD3204"/>
    <w:rsid w:val="00CD7EB8"/>
    <w:rsid w:val="00CE0EB6"/>
    <w:rsid w:val="00CE1B37"/>
    <w:rsid w:val="00CE40C3"/>
    <w:rsid w:val="00CE43A6"/>
    <w:rsid w:val="00CF2514"/>
    <w:rsid w:val="00CF4147"/>
    <w:rsid w:val="00CF5E4D"/>
    <w:rsid w:val="00D128AA"/>
    <w:rsid w:val="00D12CA8"/>
    <w:rsid w:val="00D16A92"/>
    <w:rsid w:val="00D24A0D"/>
    <w:rsid w:val="00D31399"/>
    <w:rsid w:val="00D3239E"/>
    <w:rsid w:val="00D33853"/>
    <w:rsid w:val="00D342B4"/>
    <w:rsid w:val="00D34BE5"/>
    <w:rsid w:val="00D350D6"/>
    <w:rsid w:val="00D352F2"/>
    <w:rsid w:val="00D35B9B"/>
    <w:rsid w:val="00D40241"/>
    <w:rsid w:val="00D40E65"/>
    <w:rsid w:val="00D41936"/>
    <w:rsid w:val="00D42CB8"/>
    <w:rsid w:val="00D467F8"/>
    <w:rsid w:val="00D47623"/>
    <w:rsid w:val="00D50C71"/>
    <w:rsid w:val="00D5103D"/>
    <w:rsid w:val="00D52C1B"/>
    <w:rsid w:val="00D52FF1"/>
    <w:rsid w:val="00D531F6"/>
    <w:rsid w:val="00D532D7"/>
    <w:rsid w:val="00D550D6"/>
    <w:rsid w:val="00D57429"/>
    <w:rsid w:val="00D80115"/>
    <w:rsid w:val="00D8057E"/>
    <w:rsid w:val="00D81B32"/>
    <w:rsid w:val="00D82195"/>
    <w:rsid w:val="00D8591D"/>
    <w:rsid w:val="00D918FD"/>
    <w:rsid w:val="00D919B3"/>
    <w:rsid w:val="00D93444"/>
    <w:rsid w:val="00DA07DA"/>
    <w:rsid w:val="00DA171C"/>
    <w:rsid w:val="00DA241C"/>
    <w:rsid w:val="00DA26AF"/>
    <w:rsid w:val="00DA59A9"/>
    <w:rsid w:val="00DB4633"/>
    <w:rsid w:val="00DC2DC4"/>
    <w:rsid w:val="00DC543F"/>
    <w:rsid w:val="00DC5F96"/>
    <w:rsid w:val="00DC6437"/>
    <w:rsid w:val="00DC79FB"/>
    <w:rsid w:val="00DD2574"/>
    <w:rsid w:val="00DD2889"/>
    <w:rsid w:val="00DD3B2E"/>
    <w:rsid w:val="00DD574C"/>
    <w:rsid w:val="00DD6480"/>
    <w:rsid w:val="00DD6941"/>
    <w:rsid w:val="00DE56AF"/>
    <w:rsid w:val="00DF3667"/>
    <w:rsid w:val="00E01CA4"/>
    <w:rsid w:val="00E03BDC"/>
    <w:rsid w:val="00E120E8"/>
    <w:rsid w:val="00E12B5C"/>
    <w:rsid w:val="00E1591D"/>
    <w:rsid w:val="00E23FB8"/>
    <w:rsid w:val="00E27747"/>
    <w:rsid w:val="00E328B4"/>
    <w:rsid w:val="00E357E2"/>
    <w:rsid w:val="00E35D5B"/>
    <w:rsid w:val="00E412C5"/>
    <w:rsid w:val="00E413E7"/>
    <w:rsid w:val="00E43849"/>
    <w:rsid w:val="00E45B8C"/>
    <w:rsid w:val="00E46C46"/>
    <w:rsid w:val="00E56F1C"/>
    <w:rsid w:val="00E60A68"/>
    <w:rsid w:val="00E70A0E"/>
    <w:rsid w:val="00E776FD"/>
    <w:rsid w:val="00E77BFE"/>
    <w:rsid w:val="00E8372E"/>
    <w:rsid w:val="00E84049"/>
    <w:rsid w:val="00E84B46"/>
    <w:rsid w:val="00E854C9"/>
    <w:rsid w:val="00E86477"/>
    <w:rsid w:val="00E90CDD"/>
    <w:rsid w:val="00E93FEC"/>
    <w:rsid w:val="00E94891"/>
    <w:rsid w:val="00E9567A"/>
    <w:rsid w:val="00EA2886"/>
    <w:rsid w:val="00EB3403"/>
    <w:rsid w:val="00EB5CD8"/>
    <w:rsid w:val="00EC0D08"/>
    <w:rsid w:val="00EC366C"/>
    <w:rsid w:val="00EC6F2D"/>
    <w:rsid w:val="00ED251E"/>
    <w:rsid w:val="00ED3C89"/>
    <w:rsid w:val="00ED6A1D"/>
    <w:rsid w:val="00EE32F9"/>
    <w:rsid w:val="00EF16A7"/>
    <w:rsid w:val="00EF2278"/>
    <w:rsid w:val="00EF5F16"/>
    <w:rsid w:val="00EF7854"/>
    <w:rsid w:val="00F109F5"/>
    <w:rsid w:val="00F10A6C"/>
    <w:rsid w:val="00F10AC3"/>
    <w:rsid w:val="00F21134"/>
    <w:rsid w:val="00F21B0D"/>
    <w:rsid w:val="00F21D08"/>
    <w:rsid w:val="00F24D8D"/>
    <w:rsid w:val="00F25663"/>
    <w:rsid w:val="00F27642"/>
    <w:rsid w:val="00F27A6B"/>
    <w:rsid w:val="00F43BF6"/>
    <w:rsid w:val="00F43E8C"/>
    <w:rsid w:val="00F531D0"/>
    <w:rsid w:val="00F54412"/>
    <w:rsid w:val="00F55B08"/>
    <w:rsid w:val="00F55F82"/>
    <w:rsid w:val="00F56553"/>
    <w:rsid w:val="00F57477"/>
    <w:rsid w:val="00F605A9"/>
    <w:rsid w:val="00F610B5"/>
    <w:rsid w:val="00F623D1"/>
    <w:rsid w:val="00F6426C"/>
    <w:rsid w:val="00F72041"/>
    <w:rsid w:val="00F72990"/>
    <w:rsid w:val="00F739E1"/>
    <w:rsid w:val="00F763F0"/>
    <w:rsid w:val="00F8059A"/>
    <w:rsid w:val="00F9025E"/>
    <w:rsid w:val="00F967CA"/>
    <w:rsid w:val="00FA5DDA"/>
    <w:rsid w:val="00FB7C75"/>
    <w:rsid w:val="00FC3097"/>
    <w:rsid w:val="00FD2445"/>
    <w:rsid w:val="00FD4F5E"/>
    <w:rsid w:val="00FD53A4"/>
    <w:rsid w:val="00FD6EA2"/>
    <w:rsid w:val="00FE0CFB"/>
    <w:rsid w:val="00FE3628"/>
    <w:rsid w:val="00FF0D06"/>
    <w:rsid w:val="00FF1324"/>
    <w:rsid w:val="00FF389D"/>
    <w:rsid w:val="00FF5B56"/>
    <w:rsid w:val="08C981CA"/>
    <w:rsid w:val="0BAFC7ED"/>
    <w:rsid w:val="0E0AD2F6"/>
    <w:rsid w:val="0EBC64F1"/>
    <w:rsid w:val="10C7597A"/>
    <w:rsid w:val="12D6BFA5"/>
    <w:rsid w:val="154077B9"/>
    <w:rsid w:val="17C2F383"/>
    <w:rsid w:val="1B81BF9C"/>
    <w:rsid w:val="20D744F4"/>
    <w:rsid w:val="26D2D326"/>
    <w:rsid w:val="273FB500"/>
    <w:rsid w:val="2A0D2C4D"/>
    <w:rsid w:val="34FD072D"/>
    <w:rsid w:val="36686FC6"/>
    <w:rsid w:val="36F754D7"/>
    <w:rsid w:val="3B9CD337"/>
    <w:rsid w:val="405FE169"/>
    <w:rsid w:val="478AE57A"/>
    <w:rsid w:val="47A8E5BD"/>
    <w:rsid w:val="4A34D836"/>
    <w:rsid w:val="4CEF49B1"/>
    <w:rsid w:val="4EF2B041"/>
    <w:rsid w:val="5891619F"/>
    <w:rsid w:val="6720C834"/>
    <w:rsid w:val="67C77751"/>
    <w:rsid w:val="68DB24CF"/>
    <w:rsid w:val="6B7F52FE"/>
    <w:rsid w:val="71AA023A"/>
    <w:rsid w:val="7373324F"/>
    <w:rsid w:val="73E622DF"/>
    <w:rsid w:val="743FE5ED"/>
    <w:rsid w:val="74850014"/>
    <w:rsid w:val="7585DB80"/>
    <w:rsid w:val="782EDCD6"/>
    <w:rsid w:val="7A25797B"/>
    <w:rsid w:val="7C34FCC3"/>
    <w:rsid w:val="7C55F1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B15B"/>
  <w15:docId w15:val="{D375F4EF-CCAD-4CDC-AA59-09795549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F3"/>
    <w:pPr>
      <w:widowControl/>
      <w:autoSpaceDE/>
      <w:autoSpaceDN/>
    </w:pPr>
    <w:rPr>
      <w:sz w:val="20"/>
      <w:szCs w:val="24"/>
      <w:lang w:val="en-GB" w:eastAsia="en-GB"/>
    </w:rPr>
  </w:style>
  <w:style w:type="paragraph" w:styleId="Heading1">
    <w:name w:val="heading 1"/>
    <w:aliases w:val="ICAS | Heading"/>
    <w:basedOn w:val="Normal"/>
    <w:next w:val="Normal"/>
    <w:link w:val="Heading1Char"/>
    <w:uiPriority w:val="9"/>
    <w:qFormat/>
    <w:rsid w:val="00505B60"/>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640F8D"/>
    <w:pPr>
      <w:spacing w:before="240" w:after="240"/>
      <w:outlineLvl w:val="1"/>
    </w:pPr>
    <w:rPr>
      <w:rFonts w:ascii="Arial" w:hAnsi="Arial" w:cs="Arial"/>
      <w:b/>
      <w:bCs/>
      <w:color w:val="000000"/>
      <w:sz w:val="28"/>
      <w:szCs w:val="28"/>
    </w:rPr>
  </w:style>
  <w:style w:type="paragraph" w:styleId="Heading3">
    <w:name w:val="heading 3"/>
    <w:basedOn w:val="Normal"/>
    <w:next w:val="Normal"/>
    <w:link w:val="Heading3Char"/>
    <w:uiPriority w:val="9"/>
    <w:unhideWhenUsed/>
    <w:qFormat/>
    <w:rsid w:val="00597EF3"/>
    <w:pPr>
      <w:keepNext/>
      <w:keepLines/>
      <w:spacing w:before="240" w:after="120"/>
      <w:outlineLvl w:val="2"/>
    </w:pPr>
    <w:rPr>
      <w:rFonts w:ascii="Arial" w:eastAsiaTheme="majorEastAsia" w:hAnsi="Arial" w:cstheme="majorBidi"/>
      <w:color w:val="4D46D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0"/>
    </w:rPr>
  </w:style>
  <w:style w:type="paragraph" w:styleId="ListParagraph">
    <w:name w:val="List Paragraph"/>
    <w:basedOn w:val="Normal"/>
    <w:uiPriority w:val="1"/>
    <w:qFormat/>
    <w:pPr>
      <w:spacing w:line="244" w:lineRule="exact"/>
      <w:ind w:left="838" w:hanging="361"/>
    </w:pPr>
  </w:style>
  <w:style w:type="paragraph" w:customStyle="1" w:styleId="TableParagraph">
    <w:name w:val="Table Paragraph"/>
    <w:basedOn w:val="Normal"/>
    <w:uiPriority w:val="1"/>
    <w:qFormat/>
  </w:style>
  <w:style w:type="paragraph" w:customStyle="1" w:styleId="ICASWebHeading">
    <w:name w:val="ICAS Web Heading"/>
    <w:basedOn w:val="Normal"/>
    <w:next w:val="Normal"/>
    <w:rsid w:val="00880E84"/>
    <w:pPr>
      <w:shd w:val="clear" w:color="auto" w:fill="D9D9D9"/>
      <w:spacing w:before="100" w:beforeAutospacing="1" w:after="100" w:afterAutospacing="1"/>
    </w:pPr>
    <w:rPr>
      <w:rFonts w:eastAsia="Times New Roman" w:cs="Times New Roman"/>
      <w:b/>
      <w:caps/>
    </w:rPr>
  </w:style>
  <w:style w:type="character" w:styleId="Hyperlink">
    <w:name w:val="Hyperlink"/>
    <w:basedOn w:val="DefaultParagraphFont"/>
    <w:uiPriority w:val="99"/>
    <w:unhideWhenUsed/>
    <w:rsid w:val="00597EF3"/>
    <w:rPr>
      <w:rFonts w:ascii="Arial" w:hAnsi="Arial"/>
      <w:color w:val="0070C0"/>
      <w:sz w:val="20"/>
      <w:u w:val="single"/>
    </w:rPr>
  </w:style>
  <w:style w:type="character" w:styleId="UnresolvedMention">
    <w:name w:val="Unresolved Mention"/>
    <w:basedOn w:val="DefaultParagraphFont"/>
    <w:uiPriority w:val="99"/>
    <w:unhideWhenUsed/>
    <w:rsid w:val="00505B60"/>
    <w:rPr>
      <w:color w:val="605E5C"/>
      <w:shd w:val="clear" w:color="auto" w:fill="E1DFDD"/>
    </w:rPr>
  </w:style>
  <w:style w:type="character" w:styleId="FollowedHyperlink">
    <w:name w:val="FollowedHyperlink"/>
    <w:basedOn w:val="DefaultParagraphFont"/>
    <w:uiPriority w:val="99"/>
    <w:semiHidden/>
    <w:unhideWhenUsed/>
    <w:rsid w:val="00597EF3"/>
    <w:rPr>
      <w:rFonts w:ascii="Arial" w:hAnsi="Arial"/>
      <w:color w:val="0070C0"/>
      <w:sz w:val="20"/>
      <w:u w:val="single"/>
    </w:rPr>
  </w:style>
  <w:style w:type="paragraph" w:styleId="Header">
    <w:name w:val="header"/>
    <w:aliases w:val="ICAS | Table Heading"/>
    <w:basedOn w:val="Normal"/>
    <w:link w:val="HeaderChar"/>
    <w:uiPriority w:val="99"/>
    <w:unhideWhenUsed/>
    <w:rsid w:val="00505B60"/>
    <w:rPr>
      <w:rFonts w:ascii="Arial" w:hAnsi="Arial" w:cs="Arial"/>
      <w:b/>
      <w:bCs/>
      <w:color w:val="FFFFFF" w:themeColor="background1"/>
      <w:szCs w:val="20"/>
    </w:rPr>
  </w:style>
  <w:style w:type="character" w:customStyle="1" w:styleId="HeaderChar">
    <w:name w:val="Header Char"/>
    <w:aliases w:val="ICAS | Table Heading Char"/>
    <w:basedOn w:val="DefaultParagraphFont"/>
    <w:link w:val="Header"/>
    <w:uiPriority w:val="99"/>
    <w:rsid w:val="00505B60"/>
    <w:rPr>
      <w:rFonts w:ascii="Arial" w:hAnsi="Arial" w:cs="Arial"/>
      <w:b/>
      <w:bCs/>
      <w:color w:val="FFFFFF" w:themeColor="background1"/>
      <w:sz w:val="20"/>
      <w:szCs w:val="20"/>
      <w:lang w:val="en-GB" w:eastAsia="en-GB"/>
    </w:rPr>
  </w:style>
  <w:style w:type="paragraph" w:styleId="Footer">
    <w:name w:val="footer"/>
    <w:basedOn w:val="Normal"/>
    <w:link w:val="FooterChar"/>
    <w:uiPriority w:val="99"/>
    <w:unhideWhenUsed/>
    <w:rsid w:val="00505B60"/>
    <w:pPr>
      <w:tabs>
        <w:tab w:val="center" w:pos="4513"/>
        <w:tab w:val="right" w:pos="9026"/>
      </w:tabs>
    </w:pPr>
  </w:style>
  <w:style w:type="character" w:customStyle="1" w:styleId="FooterChar">
    <w:name w:val="Footer Char"/>
    <w:basedOn w:val="DefaultParagraphFont"/>
    <w:link w:val="Footer"/>
    <w:uiPriority w:val="99"/>
    <w:rsid w:val="00505B60"/>
    <w:rPr>
      <w:sz w:val="24"/>
      <w:szCs w:val="24"/>
      <w:lang w:val="en-GB" w:eastAsia="en-GB"/>
    </w:rPr>
  </w:style>
  <w:style w:type="table" w:styleId="TableGrid">
    <w:name w:val="Table Grid"/>
    <w:basedOn w:val="TableNormal"/>
    <w:uiPriority w:val="39"/>
    <w:rsid w:val="00505B60"/>
    <w:pPr>
      <w:widowControl/>
      <w:autoSpaceDE/>
      <w:autoSpaceDN/>
    </w:pPr>
    <w:rPr>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0A4C"/>
    <w:rPr>
      <w:sz w:val="16"/>
      <w:szCs w:val="16"/>
    </w:rPr>
  </w:style>
  <w:style w:type="paragraph" w:styleId="CommentText">
    <w:name w:val="annotation text"/>
    <w:basedOn w:val="Normal"/>
    <w:link w:val="CommentTextChar"/>
    <w:uiPriority w:val="99"/>
    <w:semiHidden/>
    <w:unhideWhenUsed/>
    <w:rsid w:val="004A0A4C"/>
    <w:rPr>
      <w:szCs w:val="20"/>
    </w:rPr>
  </w:style>
  <w:style w:type="character" w:customStyle="1" w:styleId="CommentTextChar">
    <w:name w:val="Comment Text Char"/>
    <w:basedOn w:val="DefaultParagraphFont"/>
    <w:link w:val="CommentText"/>
    <w:uiPriority w:val="99"/>
    <w:semiHidden/>
    <w:rsid w:val="004A0A4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A0A4C"/>
    <w:rPr>
      <w:b/>
      <w:bCs/>
    </w:rPr>
  </w:style>
  <w:style w:type="character" w:customStyle="1" w:styleId="CommentSubjectChar">
    <w:name w:val="Comment Subject Char"/>
    <w:basedOn w:val="CommentTextChar"/>
    <w:link w:val="CommentSubject"/>
    <w:uiPriority w:val="99"/>
    <w:semiHidden/>
    <w:rsid w:val="004A0A4C"/>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4A0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A4C"/>
    <w:rPr>
      <w:rFonts w:ascii="Segoe UI" w:eastAsia="Arial" w:hAnsi="Segoe UI" w:cs="Segoe UI"/>
      <w:sz w:val="18"/>
      <w:szCs w:val="18"/>
      <w:lang w:bidi="en-US"/>
    </w:rPr>
  </w:style>
  <w:style w:type="character" w:customStyle="1" w:styleId="BodyTextChar">
    <w:name w:val="Body Text Char"/>
    <w:basedOn w:val="DefaultParagraphFont"/>
    <w:link w:val="BodyText"/>
    <w:uiPriority w:val="1"/>
    <w:rsid w:val="00A567C0"/>
    <w:rPr>
      <w:rFonts w:ascii="Arial" w:eastAsia="Arial" w:hAnsi="Arial" w:cs="Arial"/>
      <w:sz w:val="20"/>
      <w:szCs w:val="20"/>
      <w:lang w:bidi="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9142A"/>
    <w:pPr>
      <w:widowControl/>
      <w:autoSpaceDE/>
      <w:autoSpaceDN/>
    </w:pPr>
    <w:rPr>
      <w:rFonts w:ascii="Arial" w:eastAsia="Arial" w:hAnsi="Arial" w:cs="Arial"/>
      <w:lang w:bidi="en-US"/>
    </w:rPr>
  </w:style>
  <w:style w:type="character" w:customStyle="1" w:styleId="Heading1Char">
    <w:name w:val="Heading 1 Char"/>
    <w:aliases w:val="ICAS | Heading Char"/>
    <w:basedOn w:val="DefaultParagraphFont"/>
    <w:link w:val="Heading1"/>
    <w:uiPriority w:val="9"/>
    <w:rsid w:val="00505B60"/>
    <w:rPr>
      <w:rFonts w:ascii="Arial" w:hAnsi="Arial" w:cs="Arial"/>
      <w:color w:val="4D46D9" w:themeColor="text2"/>
      <w:sz w:val="40"/>
      <w:szCs w:val="40"/>
      <w:lang w:val="en-GB" w:eastAsia="en-GB"/>
    </w:rPr>
  </w:style>
  <w:style w:type="character" w:customStyle="1" w:styleId="Heading2Char">
    <w:name w:val="Heading 2 Char"/>
    <w:aliases w:val="ICAS | Subhead 2 Char"/>
    <w:basedOn w:val="DefaultParagraphFont"/>
    <w:link w:val="Heading2"/>
    <w:uiPriority w:val="9"/>
    <w:rsid w:val="00640F8D"/>
    <w:rPr>
      <w:rFonts w:ascii="Arial" w:hAnsi="Arial" w:cs="Arial"/>
      <w:b/>
      <w:bCs/>
      <w:color w:val="000000"/>
      <w:sz w:val="28"/>
      <w:szCs w:val="28"/>
      <w:lang w:val="en-GB" w:eastAsia="en-GB"/>
    </w:rPr>
  </w:style>
  <w:style w:type="character" w:customStyle="1" w:styleId="Heading3Char">
    <w:name w:val="Heading 3 Char"/>
    <w:basedOn w:val="DefaultParagraphFont"/>
    <w:link w:val="Heading3"/>
    <w:uiPriority w:val="9"/>
    <w:rsid w:val="00597EF3"/>
    <w:rPr>
      <w:rFonts w:ascii="Arial" w:eastAsiaTheme="majorEastAsia" w:hAnsi="Arial" w:cstheme="majorBidi"/>
      <w:color w:val="4D46D9" w:themeColor="text2"/>
      <w:sz w:val="20"/>
      <w:szCs w:val="24"/>
      <w:lang w:val="en-GB" w:eastAsia="en-GB"/>
    </w:rPr>
  </w:style>
  <w:style w:type="paragraph" w:styleId="NoSpacing">
    <w:name w:val="No Spacing"/>
    <w:aliases w:val="ICAS | Body Copy"/>
    <w:basedOn w:val="Normal"/>
    <w:link w:val="NoSpacingChar"/>
    <w:uiPriority w:val="1"/>
    <w:qFormat/>
    <w:rsid w:val="00505B60"/>
    <w:rPr>
      <w:rFonts w:ascii="Arial" w:hAnsi="Arial" w:cs="Arial"/>
      <w:color w:val="000000"/>
      <w:szCs w:val="20"/>
    </w:rPr>
  </w:style>
  <w:style w:type="character" w:customStyle="1" w:styleId="NoSpacingChar">
    <w:name w:val="No Spacing Char"/>
    <w:aliases w:val="ICAS | Body Copy Char"/>
    <w:basedOn w:val="DefaultParagraphFont"/>
    <w:link w:val="NoSpacing"/>
    <w:uiPriority w:val="1"/>
    <w:rsid w:val="00505B60"/>
    <w:rPr>
      <w:rFonts w:ascii="Arial" w:hAnsi="Arial" w:cs="Arial"/>
      <w:color w:val="000000"/>
      <w:sz w:val="20"/>
      <w:szCs w:val="20"/>
      <w:lang w:val="en-GB" w:eastAsia="en-GB"/>
    </w:rPr>
  </w:style>
  <w:style w:type="paragraph" w:customStyle="1" w:styleId="ICASBody">
    <w:name w:val="ICAS | Body"/>
    <w:basedOn w:val="NoSpacing"/>
    <w:qFormat/>
    <w:rsid w:val="00505B60"/>
    <w:pPr>
      <w:spacing w:after="240"/>
    </w:pPr>
  </w:style>
  <w:style w:type="paragraph" w:customStyle="1" w:styleId="ICASBoxOutBody">
    <w:name w:val="ICAS | Box Out Body"/>
    <w:basedOn w:val="Normal"/>
    <w:qFormat/>
    <w:rsid w:val="00505B60"/>
    <w:rPr>
      <w:rFonts w:ascii="Arial" w:hAnsi="Arial"/>
      <w:color w:val="2B3841" w:themeColor="text1"/>
      <w:szCs w:val="20"/>
    </w:rPr>
  </w:style>
  <w:style w:type="paragraph" w:customStyle="1" w:styleId="ICASBoxOutHeading">
    <w:name w:val="ICAS | Box Out Heading"/>
    <w:basedOn w:val="Normal"/>
    <w:qFormat/>
    <w:rsid w:val="004949A7"/>
    <w:rPr>
      <w:rFonts w:ascii="Arial" w:hAnsi="Arial"/>
      <w:b/>
      <w:bCs/>
      <w:color w:val="2B3841" w:themeColor="text1"/>
      <w:szCs w:val="20"/>
    </w:rPr>
  </w:style>
  <w:style w:type="paragraph" w:customStyle="1" w:styleId="ICASBulletssecondlevel">
    <w:name w:val="ICAS | Bullets – second level"/>
    <w:basedOn w:val="Normal"/>
    <w:qFormat/>
    <w:rsid w:val="00505B60"/>
    <w:pPr>
      <w:numPr>
        <w:numId w:val="14"/>
      </w:numPr>
      <w:spacing w:after="86" w:line="276" w:lineRule="auto"/>
      <w:contextualSpacing/>
    </w:pPr>
    <w:rPr>
      <w:rFonts w:ascii="Arial" w:hAnsi="Arial" w:cs="Arial"/>
      <w:color w:val="000000"/>
      <w:szCs w:val="20"/>
    </w:rPr>
  </w:style>
  <w:style w:type="paragraph" w:customStyle="1" w:styleId="ICASCoverHeadingWhite">
    <w:name w:val="ICAS | Cover Heading – White"/>
    <w:basedOn w:val="Normal"/>
    <w:qFormat/>
    <w:rsid w:val="00505B60"/>
    <w:pPr>
      <w:snapToGrid w:val="0"/>
    </w:pPr>
    <w:rPr>
      <w:rFonts w:ascii="Arial" w:hAnsi="Arial" w:cs="Arial"/>
      <w:b/>
      <w:bCs/>
      <w:color w:val="FFFFFF" w:themeColor="background1"/>
      <w:sz w:val="124"/>
      <w:szCs w:val="124"/>
    </w:rPr>
  </w:style>
  <w:style w:type="paragraph" w:customStyle="1" w:styleId="ICASDateBlack">
    <w:name w:val="ICAS | Date – Black"/>
    <w:basedOn w:val="Normal"/>
    <w:qFormat/>
    <w:rsid w:val="00505B60"/>
    <w:pPr>
      <w:spacing w:line="276" w:lineRule="auto"/>
    </w:pPr>
    <w:rPr>
      <w:sz w:val="28"/>
      <w:szCs w:val="28"/>
    </w:rPr>
  </w:style>
  <w:style w:type="paragraph" w:customStyle="1" w:styleId="ICASDateWhite">
    <w:name w:val="ICAS | Date – White"/>
    <w:basedOn w:val="Normal"/>
    <w:qFormat/>
    <w:rsid w:val="00505B60"/>
    <w:pPr>
      <w:spacing w:line="276" w:lineRule="auto"/>
    </w:pPr>
    <w:rPr>
      <w:color w:val="FFFFFF" w:themeColor="background1"/>
      <w:sz w:val="28"/>
      <w:szCs w:val="28"/>
    </w:rPr>
  </w:style>
  <w:style w:type="paragraph" w:customStyle="1" w:styleId="ICASQuote">
    <w:name w:val="ICAS | Quote"/>
    <w:basedOn w:val="Normal"/>
    <w:qFormat/>
    <w:rsid w:val="00505B60"/>
    <w:pPr>
      <w:spacing w:before="128" w:after="255" w:line="276" w:lineRule="auto"/>
      <w:ind w:left="128"/>
    </w:pPr>
    <w:rPr>
      <w:rFonts w:ascii="Arial" w:hAnsi="Arial" w:cs="Arial"/>
      <w:i/>
      <w:iCs/>
      <w:color w:val="2B3841" w:themeColor="text1"/>
      <w:szCs w:val="20"/>
    </w:rPr>
  </w:style>
  <w:style w:type="paragraph" w:customStyle="1" w:styleId="ICASTableContent">
    <w:name w:val="ICAS | Table Content"/>
    <w:basedOn w:val="Normal"/>
    <w:qFormat/>
    <w:rsid w:val="00505B60"/>
    <w:rPr>
      <w:rFonts w:ascii="Arial" w:hAnsi="Arial" w:cs="Arial"/>
      <w:szCs w:val="20"/>
    </w:rPr>
  </w:style>
  <w:style w:type="table" w:customStyle="1" w:styleId="ICASTableHeading">
    <w:name w:val="ICAS | Table Heading"/>
    <w:basedOn w:val="TableNormal"/>
    <w:uiPriority w:val="99"/>
    <w:rsid w:val="00505B60"/>
    <w:pPr>
      <w:widowControl/>
      <w:autoSpaceDE/>
      <w:autoSpaceDN/>
    </w:pPr>
    <w:rPr>
      <w:sz w:val="24"/>
      <w:szCs w:val="24"/>
      <w:lang w:val="en-GB" w:eastAsia="en-GB"/>
    </w:rPr>
    <w:tblPr/>
  </w:style>
  <w:style w:type="paragraph" w:customStyle="1" w:styleId="ICASCoverHeadingBlack">
    <w:name w:val="ICAS | Cover Heading – Black"/>
    <w:basedOn w:val="Normal"/>
    <w:qFormat/>
    <w:rsid w:val="00505B60"/>
    <w:pPr>
      <w:snapToGrid w:val="0"/>
    </w:pPr>
    <w:rPr>
      <w:rFonts w:ascii="Arial" w:hAnsi="Arial" w:cs="Arial"/>
      <w:b/>
      <w:bCs/>
      <w:sz w:val="124"/>
      <w:szCs w:val="124"/>
    </w:rPr>
  </w:style>
  <w:style w:type="paragraph" w:customStyle="1" w:styleId="ICASPageNumber">
    <w:name w:val="ICAS | Page Number"/>
    <w:basedOn w:val="Footer"/>
    <w:qFormat/>
    <w:rsid w:val="00505B60"/>
    <w:pPr>
      <w:framePr w:wrap="none" w:vAnchor="text" w:hAnchor="margin" w:xAlign="right" w:y="1"/>
    </w:pPr>
    <w:rPr>
      <w:color w:val="000000"/>
      <w:szCs w:val="20"/>
    </w:rPr>
  </w:style>
  <w:style w:type="paragraph" w:customStyle="1" w:styleId="ICASSubhead1">
    <w:name w:val="ICAS | Subhead 1"/>
    <w:basedOn w:val="Heading2"/>
    <w:qFormat/>
    <w:rsid w:val="00505B60"/>
    <w:pPr>
      <w:spacing w:after="280"/>
    </w:pPr>
  </w:style>
  <w:style w:type="character" w:styleId="PageNumber">
    <w:name w:val="page number"/>
    <w:basedOn w:val="DefaultParagraphFont"/>
    <w:uiPriority w:val="99"/>
    <w:semiHidden/>
    <w:unhideWhenUsed/>
    <w:rsid w:val="00505B60"/>
  </w:style>
  <w:style w:type="paragraph" w:styleId="Title">
    <w:name w:val="Title"/>
    <w:aliases w:val="ICAS | Bullets – first level"/>
    <w:basedOn w:val="Normal"/>
    <w:next w:val="Normal"/>
    <w:link w:val="TitleChar"/>
    <w:uiPriority w:val="10"/>
    <w:qFormat/>
    <w:rsid w:val="00505B60"/>
    <w:pPr>
      <w:numPr>
        <w:numId w:val="15"/>
      </w:numPr>
      <w:contextualSpacing/>
    </w:pPr>
    <w:rPr>
      <w:rFonts w:ascii="Arial" w:hAnsi="Arial" w:cs="Arial"/>
      <w:szCs w:val="20"/>
    </w:rPr>
  </w:style>
  <w:style w:type="character" w:customStyle="1" w:styleId="TitleChar">
    <w:name w:val="Title Char"/>
    <w:aliases w:val="ICAS | Bullets – first level Char"/>
    <w:basedOn w:val="DefaultParagraphFont"/>
    <w:link w:val="Title"/>
    <w:uiPriority w:val="10"/>
    <w:rsid w:val="00505B60"/>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7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as.com/contact-us/icas-technical-helpde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as.com/__data/assets/word_doc/0008/583046/Engagement-letters-helpsheet-Complet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as.com/professional-resources/practice/knowledge-centre/general-practice-manual/Documents-and-file-access-rights.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CAS">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Kenneth Oliver</DisplayName>
        <AccountId>51</AccountId>
        <AccountType/>
      </UserInfo>
      <UserInfo>
        <DisplayName>Kate Neilson</DisplayName>
        <AccountId>45</AccountId>
        <AccountType/>
      </UserInfo>
      <UserInfo>
        <DisplayName>Jeremy Clarke</DisplayName>
        <AccountId>16</AccountId>
        <AccountType/>
      </UserInfo>
      <UserInfo>
        <DisplayName>Alasdair Millar</DisplayName>
        <AccountId>22</AccountId>
        <AccountType/>
      </UserInfo>
      <UserInfo>
        <DisplayName>Charlotte Barbour</DisplayName>
        <AccountId>46</AccountId>
        <AccountType/>
      </UserInfo>
      <UserInfo>
        <DisplayName>Philip McNeill</DisplayName>
        <AccountId>27</AccountId>
        <AccountType/>
      </UserInfo>
      <UserInfo>
        <DisplayName>Steven Wood</DisplayName>
        <AccountId>17</AccountId>
        <AccountType/>
      </UserInfo>
      <UserInfo>
        <DisplayName>Robert Mudge</DisplayName>
        <AccountId>111</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995C7-380D-4BAD-B83B-D971BEEBE348}">
  <ds:schemaRefs>
    <ds:schemaRef ds:uri="http://schemas.openxmlformats.org/officeDocument/2006/bibliography"/>
  </ds:schemaRefs>
</ds:datastoreItem>
</file>

<file path=customXml/itemProps2.xml><?xml version="1.0" encoding="utf-8"?>
<ds:datastoreItem xmlns:ds="http://schemas.openxmlformats.org/officeDocument/2006/customXml" ds:itemID="{09C9AA8D-D5B8-403F-AE54-FB405F1E3150}">
  <ds:schemaRefs>
    <ds:schemaRef ds:uri="http://schemas.microsoft.com/office/2006/metadata/properties"/>
    <ds:schemaRef ds:uri="http://schemas.microsoft.com/office/infopath/2007/PartnerControls"/>
    <ds:schemaRef ds:uri="52d05684-39aa-4c0d-8cff-5e0cc80d847a"/>
    <ds:schemaRef ds:uri="607b35c9-358c-4a12-8b61-a6ae96df6ef5"/>
  </ds:schemaRefs>
</ds:datastoreItem>
</file>

<file path=customXml/itemProps3.xml><?xml version="1.0" encoding="utf-8"?>
<ds:datastoreItem xmlns:ds="http://schemas.openxmlformats.org/officeDocument/2006/customXml" ds:itemID="{EA1D12EB-7639-4240-BFB7-93006E561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53BDE-3A59-4CFD-8DF1-5A400FC34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Links>
    <vt:vector size="36" baseType="variant">
      <vt:variant>
        <vt:i4>6357117</vt:i4>
      </vt:variant>
      <vt:variant>
        <vt:i4>15</vt:i4>
      </vt:variant>
      <vt:variant>
        <vt:i4>0</vt:i4>
      </vt:variant>
      <vt:variant>
        <vt:i4>5</vt:i4>
      </vt:variant>
      <vt:variant>
        <vt:lpwstr>https://www.icas.com/contact-us/icas-technical-helpdesk</vt:lpwstr>
      </vt:variant>
      <vt:variant>
        <vt:lpwstr/>
      </vt:variant>
      <vt:variant>
        <vt:i4>6291461</vt:i4>
      </vt:variant>
      <vt:variant>
        <vt:i4>12</vt:i4>
      </vt:variant>
      <vt:variant>
        <vt:i4>0</vt:i4>
      </vt:variant>
      <vt:variant>
        <vt:i4>5</vt:i4>
      </vt:variant>
      <vt:variant>
        <vt:lpwstr>https://www.icas.com/__data/assets/word_doc/0008/583046/Engagement-letters-helpsheet-Complete.docx</vt:lpwstr>
      </vt:variant>
      <vt:variant>
        <vt:lpwstr/>
      </vt:variant>
      <vt:variant>
        <vt:i4>131171</vt:i4>
      </vt:variant>
      <vt:variant>
        <vt:i4>9</vt:i4>
      </vt:variant>
      <vt:variant>
        <vt:i4>0</vt:i4>
      </vt:variant>
      <vt:variant>
        <vt:i4>5</vt:i4>
      </vt:variant>
      <vt:variant>
        <vt:lpwstr>https://www.icas.com/__data/assets/pdf_file/0004/268348/Lien-helpsheet.pdf</vt:lpwstr>
      </vt:variant>
      <vt:variant>
        <vt:lpwstr/>
      </vt:variant>
      <vt:variant>
        <vt:i4>3539041</vt:i4>
      </vt:variant>
      <vt:variant>
        <vt:i4>6</vt:i4>
      </vt:variant>
      <vt:variant>
        <vt:i4>0</vt:i4>
      </vt:variant>
      <vt:variant>
        <vt:i4>5</vt:i4>
      </vt:variant>
      <vt:variant>
        <vt:lpwstr>https://www.icas.com/professional-resources/practice/knowledge-centre/general-practice-manual/Documents-and-file-access-rights.docx</vt:lpwstr>
      </vt:variant>
      <vt:variant>
        <vt:lpwstr/>
      </vt:variant>
      <vt:variant>
        <vt:i4>589846</vt:i4>
      </vt:variant>
      <vt:variant>
        <vt:i4>3</vt:i4>
      </vt:variant>
      <vt:variant>
        <vt:i4>0</vt:i4>
      </vt:variant>
      <vt:variant>
        <vt:i4>5</vt:i4>
      </vt:variant>
      <vt:variant>
        <vt:lpwstr/>
      </vt:variant>
      <vt:variant>
        <vt:lpwstr>Appendix2</vt:lpwstr>
      </vt:variant>
      <vt:variant>
        <vt:i4>589846</vt:i4>
      </vt:variant>
      <vt:variant>
        <vt:i4>0</vt:i4>
      </vt:variant>
      <vt:variant>
        <vt:i4>0</vt:i4>
      </vt:variant>
      <vt:variant>
        <vt:i4>5</vt:i4>
      </vt:variant>
      <vt:variant>
        <vt:lpwstr/>
      </vt:variant>
      <vt:variant>
        <vt:lpwstr>Appendix1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Byrne</dc:creator>
  <cp:keywords/>
  <cp:lastModifiedBy>Davide Tedesco</cp:lastModifiedBy>
  <cp:revision>70</cp:revision>
  <dcterms:created xsi:type="dcterms:W3CDTF">2023-08-01T18:00:00Z</dcterms:created>
  <dcterms:modified xsi:type="dcterms:W3CDTF">2024-09-02T10:32:00Z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for Office 365</vt:lpwstr>
  </property>
  <property fmtid="{D5CDD505-2E9C-101B-9397-08002B2CF9AE}" pid="4" name="LastSaved">
    <vt:filetime>2020-08-05T00:00:00Z</vt:filetime>
  </property>
  <property fmtid="{D5CDD505-2E9C-101B-9397-08002B2CF9AE}" pid="5" name="ContentTypeId">
    <vt:lpwstr>0x010100B358CB58330DE6489439988E1A6A5EBB</vt:lpwstr>
  </property>
  <property fmtid="{D5CDD505-2E9C-101B-9397-08002B2CF9AE}" pid="6" name="MediaServiceImageTags">
    <vt:lpwstr/>
  </property>
</Properties>
</file>