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3FE98B" w14:textId="4E3C846F" w:rsidR="00497684" w:rsidRPr="00992253" w:rsidRDefault="007D4DB7" w:rsidP="004855E3">
      <w:pPr>
        <w:pStyle w:val="Heading1"/>
      </w:pPr>
      <w:proofErr w:type="spellStart"/>
      <w:r>
        <w:t>Helpsheet</w:t>
      </w:r>
      <w:proofErr w:type="spellEnd"/>
      <w:r w:rsidR="00E86477">
        <w:t xml:space="preserve">: </w:t>
      </w:r>
      <w:r w:rsidR="00985362">
        <w:t xml:space="preserve">Anti-Money Laundering – Tipping off </w:t>
      </w:r>
    </w:p>
    <w:p w14:paraId="03855EB1" w14:textId="3BCF199C" w:rsidR="00497684" w:rsidRPr="00992253" w:rsidRDefault="00497684" w:rsidP="004855E3">
      <w:pPr>
        <w:pStyle w:val="ICASBoxOutBody"/>
      </w:pPr>
      <w:r w:rsidRPr="00893A74">
        <w:rPr>
          <w:b/>
        </w:rPr>
        <w:t>Issued</w:t>
      </w:r>
      <w:r w:rsidR="00DD2889" w:rsidRPr="00893A74">
        <w:rPr>
          <w:b/>
        </w:rPr>
        <w:t>:</w:t>
      </w:r>
      <w:r w:rsidRPr="00992253">
        <w:t xml:space="preserve"> </w:t>
      </w:r>
      <w:r w:rsidR="003B274C">
        <w:t>March</w:t>
      </w:r>
      <w:r w:rsidR="00AE79C4">
        <w:t xml:space="preserve"> 2021</w:t>
      </w:r>
    </w:p>
    <w:p w14:paraId="57865399" w14:textId="25F7BCB5" w:rsidR="003F692B" w:rsidRPr="00992253" w:rsidRDefault="003F692B" w:rsidP="004855E3">
      <w:pPr>
        <w:pStyle w:val="ICASBoxOutBody"/>
      </w:pPr>
      <w:r w:rsidRPr="00893A74">
        <w:rPr>
          <w:b/>
        </w:rPr>
        <w:t>Last issued</w:t>
      </w:r>
      <w:r w:rsidR="00DD2889" w:rsidRPr="00893A74">
        <w:rPr>
          <w:b/>
        </w:rPr>
        <w:t>:</w:t>
      </w:r>
      <w:r w:rsidRPr="00992253">
        <w:t xml:space="preserve"> </w:t>
      </w:r>
      <w:r w:rsidR="00EB7500">
        <w:t>July 2024</w:t>
      </w:r>
    </w:p>
    <w:p w14:paraId="2827816E" w14:textId="4641B8CC" w:rsidR="00497684" w:rsidRDefault="00497684" w:rsidP="004855E3">
      <w:pPr>
        <w:pStyle w:val="ICASBoxOutBody"/>
      </w:pPr>
      <w:r w:rsidRPr="00893A74">
        <w:rPr>
          <w:b/>
        </w:rPr>
        <w:t>Last reviewed</w:t>
      </w:r>
      <w:r w:rsidR="00DD2889" w:rsidRPr="00893A74">
        <w:rPr>
          <w:b/>
        </w:rPr>
        <w:t>:</w:t>
      </w:r>
      <w:r w:rsidRPr="00992253">
        <w:t xml:space="preserve"> </w:t>
      </w:r>
      <w:r w:rsidR="00EB7500">
        <w:t>July 2024</w:t>
      </w:r>
    </w:p>
    <w:p w14:paraId="5F53CE8A" w14:textId="23DC0BC7" w:rsidR="00033FD4" w:rsidRPr="004855E3" w:rsidRDefault="003F692B" w:rsidP="004855E3">
      <w:pPr>
        <w:pStyle w:val="Heading2"/>
      </w:pPr>
      <w:r w:rsidRPr="004855E3">
        <w:t>Introduction</w:t>
      </w:r>
    </w:p>
    <w:p w14:paraId="4BBCA1C4" w14:textId="646341D3" w:rsidR="007D4DB7" w:rsidRDefault="00730270" w:rsidP="004855E3">
      <w:pPr>
        <w:pStyle w:val="ICASBody"/>
      </w:pPr>
      <w:r>
        <w:t xml:space="preserve">Tipping off is an offence under </w:t>
      </w:r>
      <w:hyperlink r:id="rId10" w:history="1">
        <w:r w:rsidRPr="00DA28D1">
          <w:rPr>
            <w:rStyle w:val="Hyperlink"/>
          </w:rPr>
          <w:t>section 33</w:t>
        </w:r>
        <w:r w:rsidR="004D14A4" w:rsidRPr="00DA28D1">
          <w:rPr>
            <w:rStyle w:val="Hyperlink"/>
          </w:rPr>
          <w:t>3</w:t>
        </w:r>
        <w:r w:rsidRPr="00DA28D1">
          <w:rPr>
            <w:rStyle w:val="Hyperlink"/>
          </w:rPr>
          <w:t xml:space="preserve">A of the Proceeds of Crime Act </w:t>
        </w:r>
        <w:r w:rsidR="004D14A4" w:rsidRPr="00DA28D1">
          <w:rPr>
            <w:rStyle w:val="Hyperlink"/>
          </w:rPr>
          <w:t xml:space="preserve">(POCA) </w:t>
        </w:r>
        <w:r w:rsidRPr="00DA28D1">
          <w:rPr>
            <w:rStyle w:val="Hyperlink"/>
          </w:rPr>
          <w:t>2002</w:t>
        </w:r>
      </w:hyperlink>
      <w:r w:rsidR="001A2BC3">
        <w:t>. There are two tipping off offences contained with</w:t>
      </w:r>
      <w:r w:rsidR="00D92B53">
        <w:t xml:space="preserve">in section 333A which only apply to businesses in the regulated sector. </w:t>
      </w:r>
      <w:r w:rsidR="00515DF1">
        <w:t xml:space="preserve">Businesses in the regulated sector include accountants, auditors and insolvency practitioners. </w:t>
      </w:r>
      <w:r w:rsidR="00726039">
        <w:t>Members</w:t>
      </w:r>
      <w:r w:rsidR="00F22AE8">
        <w:t xml:space="preserve"> therefore need to </w:t>
      </w:r>
      <w:r w:rsidR="00726039">
        <w:t xml:space="preserve">understand what tipping off is </w:t>
      </w:r>
      <w:r w:rsidR="003531A1">
        <w:t xml:space="preserve">and how to avoid it. </w:t>
      </w:r>
      <w:r w:rsidR="00F22AE8">
        <w:t xml:space="preserve"> </w:t>
      </w:r>
      <w:r w:rsidR="00A60BE1">
        <w:t xml:space="preserve"> </w:t>
      </w:r>
    </w:p>
    <w:p w14:paraId="174B503D" w14:textId="18690151" w:rsidR="007D4DB7" w:rsidRPr="004855E3" w:rsidRDefault="006211EB" w:rsidP="004855E3">
      <w:pPr>
        <w:pStyle w:val="Heading2"/>
      </w:pPr>
      <w:r w:rsidRPr="004855E3">
        <w:t xml:space="preserve">Tipping off </w:t>
      </w:r>
    </w:p>
    <w:p w14:paraId="7BA0E462" w14:textId="05944E20" w:rsidR="00144954" w:rsidRDefault="00947A12" w:rsidP="004855E3">
      <w:pPr>
        <w:pStyle w:val="ICASBody"/>
      </w:pPr>
      <w:r>
        <w:t xml:space="preserve">Tipping off is committed when a relevant employee in the regulated sector discloses that: </w:t>
      </w:r>
    </w:p>
    <w:p w14:paraId="26E5188E" w14:textId="77777777" w:rsidR="003B5F9C" w:rsidRDefault="0016716F" w:rsidP="003B5F9C">
      <w:pPr>
        <w:pStyle w:val="ICASBody"/>
        <w:numPr>
          <w:ilvl w:val="0"/>
          <w:numId w:val="23"/>
        </w:numPr>
        <w:ind w:left="851" w:hanging="425"/>
      </w:pPr>
      <w:r>
        <w:t>A</w:t>
      </w:r>
      <w:r w:rsidR="00480575">
        <w:t xml:space="preserve"> </w:t>
      </w:r>
      <w:r w:rsidR="00505AB8">
        <w:t>S</w:t>
      </w:r>
      <w:r w:rsidR="00480575">
        <w:t xml:space="preserve">uspicious </w:t>
      </w:r>
      <w:r w:rsidR="00505AB8">
        <w:t>A</w:t>
      </w:r>
      <w:r w:rsidR="00480575">
        <w:t xml:space="preserve">ctivity </w:t>
      </w:r>
      <w:r w:rsidR="00505AB8">
        <w:t>R</w:t>
      </w:r>
      <w:r w:rsidR="00480575">
        <w:t xml:space="preserve">eport </w:t>
      </w:r>
      <w:r>
        <w:t xml:space="preserve">(SAR) has been made and this disclosure is likely to prejudice any subsequent </w:t>
      </w:r>
      <w:r w:rsidR="00DA19CF">
        <w:t>investigation</w:t>
      </w:r>
      <w:r w:rsidR="002C3C8C">
        <w:t>.</w:t>
      </w:r>
    </w:p>
    <w:p w14:paraId="2585E79C" w14:textId="426B3BE2" w:rsidR="00947A12" w:rsidRPr="00461192" w:rsidRDefault="00EF01D6" w:rsidP="003B5F9C">
      <w:pPr>
        <w:pStyle w:val="ICASBody"/>
        <w:ind w:left="851"/>
      </w:pPr>
      <w:r w:rsidRPr="00461192">
        <w:t>This offence can only be committed after a disclosure has been made to the NCA, if the relevant person knew or suspected that</w:t>
      </w:r>
      <w:r w:rsidR="00FD619E" w:rsidRPr="00461192">
        <w:t xml:space="preserve"> their disclosure was likely to prejudice any </w:t>
      </w:r>
      <w:r w:rsidR="007D2197" w:rsidRPr="00461192">
        <w:t>investigation related to the SAR</w:t>
      </w:r>
      <w:r w:rsidR="008B1220">
        <w:t>,</w:t>
      </w:r>
      <w:r w:rsidR="007D2197" w:rsidRPr="00461192">
        <w:t xml:space="preserve"> </w:t>
      </w:r>
      <w:r w:rsidR="008B1220">
        <w:t>and</w:t>
      </w:r>
      <w:r w:rsidR="007D2197" w:rsidRPr="00461192">
        <w:t xml:space="preserve"> if the information upon which the </w:t>
      </w:r>
      <w:r w:rsidR="00144788" w:rsidRPr="00461192">
        <w:t>disclosure is based came</w:t>
      </w:r>
      <w:r w:rsidR="008E5B09" w:rsidRPr="00461192">
        <w:t xml:space="preserve"> </w:t>
      </w:r>
      <w:r w:rsidR="00280F75">
        <w:t xml:space="preserve">to </w:t>
      </w:r>
      <w:r w:rsidR="008E5B09" w:rsidRPr="00461192">
        <w:t xml:space="preserve">the relevant person </w:t>
      </w:r>
      <w:proofErr w:type="gramStart"/>
      <w:r w:rsidR="00117F33" w:rsidRPr="00461192">
        <w:t>during the course of</w:t>
      </w:r>
      <w:proofErr w:type="gramEnd"/>
      <w:r w:rsidR="008E5B09" w:rsidRPr="00461192">
        <w:t xml:space="preserve"> business in the regulated sector. </w:t>
      </w:r>
      <w:r w:rsidR="00DA19CF" w:rsidRPr="00461192">
        <w:t xml:space="preserve"> </w:t>
      </w:r>
    </w:p>
    <w:p w14:paraId="225CCAF5" w14:textId="084C0880" w:rsidR="009117DE" w:rsidRPr="0083465E" w:rsidRDefault="009117DE" w:rsidP="003B5F9C">
      <w:pPr>
        <w:pStyle w:val="ICASBody"/>
        <w:ind w:left="851"/>
        <w:rPr>
          <w:u w:val="single"/>
        </w:rPr>
      </w:pPr>
      <w:r w:rsidRPr="0083465E">
        <w:rPr>
          <w:u w:val="single"/>
        </w:rPr>
        <w:t>OR</w:t>
      </w:r>
    </w:p>
    <w:p w14:paraId="7EF4FBD3" w14:textId="77777777" w:rsidR="003B5F9C" w:rsidRDefault="00DA19CF" w:rsidP="003B5F9C">
      <w:pPr>
        <w:pStyle w:val="ICASBody"/>
        <w:numPr>
          <w:ilvl w:val="0"/>
          <w:numId w:val="23"/>
        </w:numPr>
        <w:ind w:left="851" w:hanging="425"/>
      </w:pPr>
      <w:r>
        <w:t xml:space="preserve">An investigation into allegations of money laundering or terrorist financing </w:t>
      </w:r>
      <w:r w:rsidR="0093790D">
        <w:t>is underway</w:t>
      </w:r>
      <w:r w:rsidR="002477BE">
        <w:t xml:space="preserve">, </w:t>
      </w:r>
      <w:r w:rsidR="0093790D">
        <w:t>or being contemplated</w:t>
      </w:r>
      <w:r w:rsidR="002477BE">
        <w:t>,</w:t>
      </w:r>
      <w:r w:rsidR="0093790D">
        <w:t xml:space="preserve"> and this disclosure is likely to prejudice that investigation.</w:t>
      </w:r>
    </w:p>
    <w:p w14:paraId="0846645D" w14:textId="41734A44" w:rsidR="009117DE" w:rsidRPr="00C17962" w:rsidRDefault="009117DE" w:rsidP="003B5F9C">
      <w:pPr>
        <w:pStyle w:val="ICASBody"/>
        <w:ind w:left="851"/>
      </w:pPr>
      <w:r w:rsidRPr="00C17962">
        <w:t xml:space="preserve">This offence can only be committed </w:t>
      </w:r>
      <w:r w:rsidR="00FE53F9" w:rsidRPr="00C17962">
        <w:t xml:space="preserve">if the information on which the disclosure is based came to the person </w:t>
      </w:r>
      <w:proofErr w:type="gramStart"/>
      <w:r w:rsidR="00FE53F9" w:rsidRPr="00C17962">
        <w:t>in the course of</w:t>
      </w:r>
      <w:proofErr w:type="gramEnd"/>
      <w:r w:rsidR="00FE53F9" w:rsidRPr="00C17962">
        <w:t xml:space="preserve"> business in the regulated sector. </w:t>
      </w:r>
    </w:p>
    <w:p w14:paraId="5F555C3F" w14:textId="23466040" w:rsidR="0011787B" w:rsidRDefault="00CE0F5B" w:rsidP="00B26805">
      <w:pPr>
        <w:pStyle w:val="ICASBody"/>
      </w:pPr>
      <w:r>
        <w:t>C</w:t>
      </w:r>
      <w:r w:rsidR="0011787B">
        <w:t xml:space="preserve">onsiderable care </w:t>
      </w:r>
      <w:r>
        <w:t>should</w:t>
      </w:r>
      <w:r w:rsidR="0011787B">
        <w:t xml:space="preserve"> therefore </w:t>
      </w:r>
      <w:r>
        <w:t>be</w:t>
      </w:r>
      <w:r w:rsidR="0011787B">
        <w:t xml:space="preserve"> taken when communicating with clients or third parties after any form of SAR has been made. </w:t>
      </w:r>
      <w:r w:rsidR="00501294">
        <w:t>It is suggested that firms keep records of any discussions relating to the matter and</w:t>
      </w:r>
      <w:r w:rsidR="00D764DF">
        <w:t xml:space="preserve"> the conclusions reached. </w:t>
      </w:r>
    </w:p>
    <w:p w14:paraId="79D9BAC1" w14:textId="4CFA7C8C" w:rsidR="00245493" w:rsidRPr="0011787B" w:rsidRDefault="00245493" w:rsidP="00B26805">
      <w:pPr>
        <w:pStyle w:val="ICASBody"/>
      </w:pPr>
      <w:r>
        <w:t xml:space="preserve">No tipping off offence is committed under </w:t>
      </w:r>
      <w:r w:rsidR="007A1EAF">
        <w:t xml:space="preserve">section </w:t>
      </w:r>
      <w:r w:rsidR="00734391">
        <w:t>3</w:t>
      </w:r>
      <w:r w:rsidR="007A1EAF">
        <w:t xml:space="preserve">33A of POCA if the relevant person did not know or suspect </w:t>
      </w:r>
      <w:r w:rsidR="00221807">
        <w:t xml:space="preserve">that their disclosure was likely to prejudice any subsequent investigation. </w:t>
      </w:r>
    </w:p>
    <w:p w14:paraId="2ADAD164" w14:textId="60FF15C8" w:rsidR="0038726B" w:rsidRPr="0038726B" w:rsidRDefault="0038726B" w:rsidP="003B5F9C">
      <w:pPr>
        <w:pStyle w:val="Heading3"/>
      </w:pPr>
      <w:r w:rsidRPr="0038726B">
        <w:t>Exceptions to disclosure</w:t>
      </w:r>
    </w:p>
    <w:p w14:paraId="64081D35" w14:textId="081309CA" w:rsidR="0083465E" w:rsidRDefault="00B84DE5" w:rsidP="00B26805">
      <w:pPr>
        <w:pStyle w:val="ICASBody"/>
      </w:pPr>
      <w:r>
        <w:t>There are</w:t>
      </w:r>
      <w:r w:rsidR="00163300">
        <w:t xml:space="preserve"> </w:t>
      </w:r>
      <w:proofErr w:type="gramStart"/>
      <w:r>
        <w:t>a number of</w:t>
      </w:r>
      <w:proofErr w:type="gramEnd"/>
      <w:r>
        <w:t xml:space="preserve"> exceptions to disclosing the existence of a SAR</w:t>
      </w:r>
      <w:r w:rsidR="00163300">
        <w:t xml:space="preserve"> or a current/subsequent investigation. </w:t>
      </w:r>
      <w:r w:rsidR="00B971B1">
        <w:t>It is not considered tipping off if</w:t>
      </w:r>
      <w:r w:rsidR="00B37EDF">
        <w:t xml:space="preserve"> the relevant person makes a disclosure</w:t>
      </w:r>
      <w:r w:rsidR="00B971B1">
        <w:t>:</w:t>
      </w:r>
    </w:p>
    <w:p w14:paraId="181D38A9" w14:textId="6359A3D8" w:rsidR="00B971B1" w:rsidRDefault="00B37EDF" w:rsidP="003B5F9C">
      <w:pPr>
        <w:pStyle w:val="ICASBody"/>
        <w:numPr>
          <w:ilvl w:val="0"/>
          <w:numId w:val="31"/>
        </w:numPr>
        <w:ind w:left="709"/>
      </w:pPr>
      <w:r>
        <w:t>To a fellow</w:t>
      </w:r>
      <w:r w:rsidR="00FA5005">
        <w:t xml:space="preserve"> relevant employee of the same undertaking</w:t>
      </w:r>
      <w:r w:rsidR="008A789F">
        <w:t xml:space="preserve">. </w:t>
      </w:r>
      <w:r w:rsidR="009D28ED">
        <w:t>F</w:t>
      </w:r>
      <w:r w:rsidR="008A789F">
        <w:t xml:space="preserve">or example, </w:t>
      </w:r>
      <w:r w:rsidR="00B21E08">
        <w:t>if an employee, officer</w:t>
      </w:r>
      <w:r w:rsidR="00373AFF">
        <w:t>,</w:t>
      </w:r>
      <w:r w:rsidR="00B21E08">
        <w:t xml:space="preserve"> or partner</w:t>
      </w:r>
      <w:r w:rsidR="004727CD">
        <w:t xml:space="preserve"> of a firm discloses that a SAR has been made to an employee, office</w:t>
      </w:r>
      <w:r w:rsidR="00373AFF">
        <w:t>r,</w:t>
      </w:r>
      <w:r w:rsidR="004727CD">
        <w:t xml:space="preserve"> or partner of the same firm. I</w:t>
      </w:r>
      <w:r w:rsidR="005E236A">
        <w:t xml:space="preserve">nternal discussions do not constitute tipping </w:t>
      </w:r>
      <w:proofErr w:type="gramStart"/>
      <w:r w:rsidR="005E236A">
        <w:t>off</w:t>
      </w:r>
      <w:r w:rsidR="00540563">
        <w:t>;</w:t>
      </w:r>
      <w:proofErr w:type="gramEnd"/>
    </w:p>
    <w:p w14:paraId="0F2DCD26" w14:textId="167443E6" w:rsidR="002B4A7E" w:rsidRDefault="00F16A74" w:rsidP="003B5F9C">
      <w:pPr>
        <w:pStyle w:val="ICASBody"/>
        <w:numPr>
          <w:ilvl w:val="0"/>
          <w:numId w:val="31"/>
        </w:numPr>
        <w:ind w:left="709"/>
      </w:pPr>
      <w:r>
        <w:t xml:space="preserve">To </w:t>
      </w:r>
      <w:r w:rsidR="00DF7F31">
        <w:t>another within the same profession but from a different business, who is of the same professional standing</w:t>
      </w:r>
      <w:r w:rsidR="0068001E">
        <w:t xml:space="preserve"> in relation to a client</w:t>
      </w:r>
      <w:r w:rsidR="00550E58">
        <w:t xml:space="preserve"> for who they are both </w:t>
      </w:r>
      <w:proofErr w:type="gramStart"/>
      <w:r w:rsidR="00550E58">
        <w:t>advisors;</w:t>
      </w:r>
      <w:proofErr w:type="gramEnd"/>
      <w:r w:rsidR="00DF7F31">
        <w:t xml:space="preserve"> </w:t>
      </w:r>
    </w:p>
    <w:p w14:paraId="1937C1AF" w14:textId="003B135D" w:rsidR="00540563" w:rsidRDefault="00540563" w:rsidP="003B5F9C">
      <w:pPr>
        <w:pStyle w:val="ICASBody"/>
        <w:numPr>
          <w:ilvl w:val="0"/>
          <w:numId w:val="31"/>
        </w:numPr>
        <w:ind w:left="709"/>
      </w:pPr>
      <w:r>
        <w:t xml:space="preserve">To an anti-money laundering </w:t>
      </w:r>
      <w:r w:rsidR="00E50467">
        <w:t xml:space="preserve">supervisory </w:t>
      </w:r>
      <w:proofErr w:type="gramStart"/>
      <w:r w:rsidR="00E50467">
        <w:t>authority;</w:t>
      </w:r>
      <w:proofErr w:type="gramEnd"/>
    </w:p>
    <w:p w14:paraId="108BB581" w14:textId="54632C95" w:rsidR="005E236A" w:rsidRDefault="00127801" w:rsidP="003B5F9C">
      <w:pPr>
        <w:pStyle w:val="ICASBody"/>
        <w:numPr>
          <w:ilvl w:val="0"/>
          <w:numId w:val="31"/>
        </w:numPr>
        <w:ind w:left="709"/>
      </w:pPr>
      <w:r>
        <w:t>T</w:t>
      </w:r>
      <w:r w:rsidR="00316F7A">
        <w:t>o dissuade their clients from conduct amounting to an offence</w:t>
      </w:r>
      <w:r w:rsidR="00664975">
        <w:t>;</w:t>
      </w:r>
      <w:r w:rsidR="00316F7A">
        <w:t xml:space="preserve"> </w:t>
      </w:r>
      <w:r w:rsidR="00A959F3">
        <w:t>and</w:t>
      </w:r>
    </w:p>
    <w:p w14:paraId="39C4DEBA" w14:textId="40138887" w:rsidR="00316F7A" w:rsidRDefault="00373AFF" w:rsidP="003B5F9C">
      <w:pPr>
        <w:pStyle w:val="ICASBody"/>
        <w:numPr>
          <w:ilvl w:val="0"/>
          <w:numId w:val="31"/>
        </w:numPr>
        <w:ind w:left="709"/>
      </w:pPr>
      <w:r>
        <w:t xml:space="preserve">When making </w:t>
      </w:r>
      <w:r w:rsidR="004F282E">
        <w:t>e</w:t>
      </w:r>
      <w:r w:rsidR="00316F7A">
        <w:t xml:space="preserve">nquiries of a client </w:t>
      </w:r>
      <w:r w:rsidR="00056237">
        <w:t>regarding something that properly falls within the normal scope of the engagement or business relationship.</w:t>
      </w:r>
      <w:r w:rsidR="00E55626">
        <w:t xml:space="preserve"> </w:t>
      </w:r>
      <w:r w:rsidR="00216E3F">
        <w:t>No attempt should be made</w:t>
      </w:r>
      <w:r w:rsidR="007E05AD">
        <w:t xml:space="preserve"> to investigate matters unless to do so </w:t>
      </w:r>
      <w:r w:rsidR="006B2D61">
        <w:t>is within the scope of the work agreed</w:t>
      </w:r>
      <w:r w:rsidR="00BD5488">
        <w:t xml:space="preserve">. </w:t>
      </w:r>
    </w:p>
    <w:p w14:paraId="533B800D" w14:textId="273446EB" w:rsidR="006071AE" w:rsidRPr="006071AE" w:rsidRDefault="006071AE" w:rsidP="00B26805">
      <w:pPr>
        <w:pStyle w:val="ICASBody"/>
      </w:pPr>
      <w:r>
        <w:t xml:space="preserve">Further examples can be found in </w:t>
      </w:r>
      <w:hyperlink r:id="rId11" w:history="1">
        <w:r w:rsidR="00201F46" w:rsidRPr="00D97C7F">
          <w:rPr>
            <w:rStyle w:val="Hyperlink"/>
          </w:rPr>
          <w:t>CCAB</w:t>
        </w:r>
        <w:r w:rsidR="009853BB" w:rsidRPr="00D97C7F">
          <w:rPr>
            <w:rStyle w:val="Hyperlink"/>
          </w:rPr>
          <w:t xml:space="preserve"> Anti-Money Laundering and Counter-Terrorist Financing Guidance for the Accountancy Sector 202</w:t>
        </w:r>
        <w:r w:rsidR="00DC7435">
          <w:rPr>
            <w:rStyle w:val="Hyperlink"/>
          </w:rPr>
          <w:t>3</w:t>
        </w:r>
        <w:r w:rsidR="009853BB" w:rsidRPr="00D97C7F">
          <w:rPr>
            <w:rStyle w:val="Hyperlink"/>
          </w:rPr>
          <w:t>.</w:t>
        </w:r>
      </w:hyperlink>
      <w:r w:rsidR="009853BB">
        <w:t xml:space="preserve"> </w:t>
      </w:r>
    </w:p>
    <w:p w14:paraId="7987E65B" w14:textId="68CDF9A8" w:rsidR="00326BA3" w:rsidRPr="00443792" w:rsidRDefault="00443792" w:rsidP="00B26805">
      <w:pPr>
        <w:pStyle w:val="ICASBody"/>
      </w:pPr>
      <w:r w:rsidRPr="00443792">
        <w:t>If anyone</w:t>
      </w:r>
      <w:r>
        <w:t xml:space="preserve"> is concerned about </w:t>
      </w:r>
      <w:r w:rsidR="00740E59">
        <w:t xml:space="preserve">whether a communication could </w:t>
      </w:r>
      <w:r w:rsidR="00797705">
        <w:t xml:space="preserve">fall within the boundaries of </w:t>
      </w:r>
      <w:r>
        <w:t xml:space="preserve">tipping </w:t>
      </w:r>
      <w:proofErr w:type="gramStart"/>
      <w:r>
        <w:t>off</w:t>
      </w:r>
      <w:proofErr w:type="gramEnd"/>
      <w:r>
        <w:t xml:space="preserve"> they should consult their MLRO</w:t>
      </w:r>
      <w:r w:rsidR="00845EC7">
        <w:t xml:space="preserve"> in the first instance. </w:t>
      </w:r>
    </w:p>
    <w:p w14:paraId="40798399" w14:textId="41F9562A" w:rsidR="00B115FE" w:rsidRDefault="00B115FE" w:rsidP="001E200D">
      <w:pPr>
        <w:pStyle w:val="Heading2"/>
      </w:pPr>
      <w:r>
        <w:t xml:space="preserve">Frequently Asked Questions </w:t>
      </w:r>
    </w:p>
    <w:p w14:paraId="571EA561" w14:textId="19D29B47" w:rsidR="00B115FE" w:rsidRDefault="004D7211" w:rsidP="001E200D">
      <w:pPr>
        <w:pStyle w:val="ICASBody"/>
      </w:pPr>
      <w:r>
        <w:t xml:space="preserve">We often get asked </w:t>
      </w:r>
      <w:r w:rsidR="00973824">
        <w:t xml:space="preserve">questions relating to tipping off, we have therefore complied some of the more common questions and answers for your information below. </w:t>
      </w:r>
    </w:p>
    <w:p w14:paraId="3611A265" w14:textId="65AFF9B6" w:rsidR="00973824" w:rsidRPr="00DA28D1" w:rsidRDefault="00267BF5" w:rsidP="003307FC">
      <w:pPr>
        <w:pStyle w:val="ICASBody"/>
        <w:numPr>
          <w:ilvl w:val="0"/>
          <w:numId w:val="26"/>
        </w:numPr>
        <w:rPr>
          <w:rStyle w:val="IntenseEmphasis"/>
        </w:rPr>
      </w:pPr>
      <w:r w:rsidRPr="00DA28D1">
        <w:rPr>
          <w:rStyle w:val="IntenseEmphasis"/>
        </w:rPr>
        <w:t xml:space="preserve">I have discovered some invoices </w:t>
      </w:r>
      <w:r w:rsidR="003E017E" w:rsidRPr="00DA28D1">
        <w:rPr>
          <w:rStyle w:val="IntenseEmphasis"/>
        </w:rPr>
        <w:t xml:space="preserve">that have not been included in </w:t>
      </w:r>
      <w:r w:rsidR="00797705" w:rsidRPr="00DA28D1">
        <w:rPr>
          <w:rStyle w:val="IntenseEmphasis"/>
        </w:rPr>
        <w:t>a client</w:t>
      </w:r>
      <w:r w:rsidR="004F282E" w:rsidRPr="00DA28D1">
        <w:rPr>
          <w:rStyle w:val="IntenseEmphasis"/>
        </w:rPr>
        <w:t>’</w:t>
      </w:r>
      <w:r w:rsidR="00797705" w:rsidRPr="00DA28D1">
        <w:rPr>
          <w:rStyle w:val="IntenseEmphasis"/>
        </w:rPr>
        <w:t>s</w:t>
      </w:r>
      <w:r w:rsidR="003E017E" w:rsidRPr="00DA28D1">
        <w:rPr>
          <w:rStyle w:val="IntenseEmphasis"/>
        </w:rPr>
        <w:t xml:space="preserve"> tax return – how do I approach this without tipping off? </w:t>
      </w:r>
    </w:p>
    <w:p w14:paraId="76865D8A" w14:textId="7936B811" w:rsidR="003E017E" w:rsidRDefault="00613DF9" w:rsidP="00D67CFC">
      <w:pPr>
        <w:pStyle w:val="ICASBody"/>
        <w:numPr>
          <w:ilvl w:val="0"/>
          <w:numId w:val="27"/>
        </w:numPr>
      </w:pPr>
      <w:r w:rsidRPr="00613DF9">
        <w:t xml:space="preserve">Enquiries made of a client </w:t>
      </w:r>
      <w:r w:rsidR="00A155C4">
        <w:t xml:space="preserve">regarding something that properly falls within the normal scope of the </w:t>
      </w:r>
      <w:r w:rsidR="00237D57">
        <w:t>engagement</w:t>
      </w:r>
      <w:r w:rsidR="00420296">
        <w:t xml:space="preserve">, such as normal enquiries to understand a specific transaction, would not lead to tipping off. </w:t>
      </w:r>
      <w:r w:rsidR="00C07FCD">
        <w:t>What is important is that enquiries are confined to what is required in the ordinary course</w:t>
      </w:r>
      <w:r w:rsidR="000C0401">
        <w:t xml:space="preserve"> of</w:t>
      </w:r>
      <w:r w:rsidR="00C07FCD">
        <w:t xml:space="preserve"> business. </w:t>
      </w:r>
      <w:r w:rsidR="00233509">
        <w:t>Pointing out anomalies, omissions</w:t>
      </w:r>
      <w:r w:rsidR="00184766">
        <w:t>,</w:t>
      </w:r>
      <w:r w:rsidR="00233509">
        <w:t xml:space="preserve"> or errors </w:t>
      </w:r>
      <w:r w:rsidR="000C0401">
        <w:t>is perfectly acceptable</w:t>
      </w:r>
      <w:r w:rsidR="00373CD9">
        <w:t xml:space="preserve"> so</w:t>
      </w:r>
      <w:r w:rsidR="00184766">
        <w:t>,</w:t>
      </w:r>
      <w:r w:rsidR="00373CD9">
        <w:t xml:space="preserve"> in this case</w:t>
      </w:r>
      <w:r w:rsidR="00184766">
        <w:t>,</w:t>
      </w:r>
      <w:r w:rsidR="00373CD9">
        <w:t xml:space="preserve"> you can simply ask the client why the invoices have not been included. </w:t>
      </w:r>
      <w:r w:rsidR="000C583C">
        <w:t xml:space="preserve">No attempt should be made to investigate matters </w:t>
      </w:r>
      <w:r w:rsidR="00533426">
        <w:t xml:space="preserve">unless it is within your scope of work to do so. </w:t>
      </w:r>
    </w:p>
    <w:p w14:paraId="406960EF" w14:textId="02A65BEF" w:rsidR="00E423CD" w:rsidRPr="00DA28D1" w:rsidRDefault="00E423CD" w:rsidP="008018BC">
      <w:pPr>
        <w:pStyle w:val="ListParagraph"/>
        <w:numPr>
          <w:ilvl w:val="0"/>
          <w:numId w:val="13"/>
        </w:numPr>
        <w:spacing w:before="120" w:after="120"/>
        <w:jc w:val="both"/>
        <w:rPr>
          <w:rStyle w:val="IntenseEmphasis"/>
        </w:rPr>
      </w:pPr>
      <w:r w:rsidRPr="00DA28D1">
        <w:rPr>
          <w:rStyle w:val="IntenseEmphasis"/>
        </w:rPr>
        <w:t xml:space="preserve">My client’s tax affairs are </w:t>
      </w:r>
      <w:r w:rsidR="00495372" w:rsidRPr="00DA28D1">
        <w:rPr>
          <w:rStyle w:val="IntenseEmphasis"/>
        </w:rPr>
        <w:t xml:space="preserve">not up to date – can I advise them of the consequences without tipping off? </w:t>
      </w:r>
    </w:p>
    <w:p w14:paraId="49CB5167" w14:textId="6945067A" w:rsidR="005B08B0" w:rsidRDefault="00CC7767" w:rsidP="00DA28D1">
      <w:pPr>
        <w:pStyle w:val="ICASBody"/>
        <w:numPr>
          <w:ilvl w:val="0"/>
          <w:numId w:val="28"/>
        </w:numPr>
      </w:pPr>
      <w:r w:rsidRPr="00162A9C">
        <w:t>Yes</w:t>
      </w:r>
      <w:r w:rsidR="001B16FF">
        <w:t>.</w:t>
      </w:r>
      <w:r w:rsidR="00162A9C" w:rsidRPr="00162A9C">
        <w:t xml:space="preserve"> </w:t>
      </w:r>
      <w:r w:rsidR="001B16FF">
        <w:t>A</w:t>
      </w:r>
      <w:r w:rsidR="00162A9C" w:rsidRPr="00162A9C">
        <w:t xml:space="preserve">ttempting to </w:t>
      </w:r>
      <w:r w:rsidR="00162A9C">
        <w:t xml:space="preserve">dissuade your client </w:t>
      </w:r>
      <w:r w:rsidR="000F3063">
        <w:t xml:space="preserve">from criminal conduct will not </w:t>
      </w:r>
      <w:r w:rsidR="008C459E">
        <w:t xml:space="preserve">result in a disclosure offence. </w:t>
      </w:r>
      <w:r w:rsidR="00BC5098">
        <w:t xml:space="preserve">Giving advice on the </w:t>
      </w:r>
      <w:r w:rsidR="00982514">
        <w:t>consequences</w:t>
      </w:r>
      <w:r w:rsidR="00BC5098">
        <w:t xml:space="preserve"> o</w:t>
      </w:r>
      <w:r w:rsidR="00982514">
        <w:t xml:space="preserve">f late filing </w:t>
      </w:r>
      <w:r w:rsidR="00025DFE">
        <w:t xml:space="preserve">of a tax return </w:t>
      </w:r>
      <w:r w:rsidR="00982514">
        <w:t xml:space="preserve">or </w:t>
      </w:r>
      <w:r w:rsidR="00025DFE">
        <w:t>not declaring</w:t>
      </w:r>
      <w:r w:rsidR="00982514">
        <w:t xml:space="preserve"> income </w:t>
      </w:r>
      <w:r w:rsidR="00F905F4">
        <w:t xml:space="preserve">is </w:t>
      </w:r>
      <w:r w:rsidR="00297F0E">
        <w:t xml:space="preserve">acceptable. </w:t>
      </w:r>
      <w:r w:rsidR="005B08B0">
        <w:t xml:space="preserve">If the client does not address the issue you may want to consider if you should continue to act for that client. </w:t>
      </w:r>
    </w:p>
    <w:p w14:paraId="203B83D1" w14:textId="0F8C227E" w:rsidR="005B08B0" w:rsidRPr="00DA28D1" w:rsidRDefault="00910B37" w:rsidP="008018BC">
      <w:pPr>
        <w:pStyle w:val="ListParagraph"/>
        <w:numPr>
          <w:ilvl w:val="0"/>
          <w:numId w:val="15"/>
        </w:numPr>
        <w:spacing w:before="120" w:after="120"/>
        <w:jc w:val="both"/>
        <w:rPr>
          <w:rStyle w:val="IntenseEmphasis"/>
        </w:rPr>
      </w:pPr>
      <w:r w:rsidRPr="00DA28D1">
        <w:rPr>
          <w:rStyle w:val="IntenseEmphasis"/>
        </w:rPr>
        <w:t>I have received a</w:t>
      </w:r>
      <w:r w:rsidR="006931E0" w:rsidRPr="00DA28D1">
        <w:rPr>
          <w:rStyle w:val="IntenseEmphasis"/>
        </w:rPr>
        <w:t>n enquiry</w:t>
      </w:r>
      <w:r w:rsidRPr="00DA28D1">
        <w:rPr>
          <w:rStyle w:val="IntenseEmphasis"/>
        </w:rPr>
        <w:t xml:space="preserve"> letter from </w:t>
      </w:r>
      <w:r w:rsidR="00DF7E9C" w:rsidRPr="00DA28D1">
        <w:rPr>
          <w:rStyle w:val="IntenseEmphasis"/>
        </w:rPr>
        <w:t xml:space="preserve">incoming accountants </w:t>
      </w:r>
      <w:r w:rsidR="00886577" w:rsidRPr="00DA28D1">
        <w:rPr>
          <w:rStyle w:val="IntenseEmphasis"/>
        </w:rPr>
        <w:t xml:space="preserve">of a client I </w:t>
      </w:r>
      <w:r w:rsidR="00A6020D" w:rsidRPr="00DA28D1">
        <w:rPr>
          <w:rStyle w:val="IntenseEmphasis"/>
        </w:rPr>
        <w:t xml:space="preserve">disengaged from </w:t>
      </w:r>
      <w:r w:rsidR="00E1042B" w:rsidRPr="00DA28D1">
        <w:rPr>
          <w:rStyle w:val="IntenseEmphasis"/>
        </w:rPr>
        <w:t>circumstances where</w:t>
      </w:r>
      <w:r w:rsidR="00A6020D" w:rsidRPr="00DA28D1">
        <w:rPr>
          <w:rStyle w:val="IntenseEmphasis"/>
        </w:rPr>
        <w:t xml:space="preserve"> a SAR</w:t>
      </w:r>
      <w:r w:rsidR="00E1042B" w:rsidRPr="00DA28D1">
        <w:rPr>
          <w:rStyle w:val="IntenseEmphasis"/>
        </w:rPr>
        <w:t xml:space="preserve"> has been submitted</w:t>
      </w:r>
      <w:r w:rsidR="00A6020D" w:rsidRPr="00DA28D1">
        <w:rPr>
          <w:rStyle w:val="IntenseEmphasis"/>
        </w:rPr>
        <w:t xml:space="preserve">. How do I respond? </w:t>
      </w:r>
    </w:p>
    <w:p w14:paraId="07A4AE1F" w14:textId="77777777" w:rsidR="008258E5" w:rsidRDefault="00E84C0F" w:rsidP="00DA28D1">
      <w:pPr>
        <w:pStyle w:val="ICASBody"/>
        <w:numPr>
          <w:ilvl w:val="0"/>
          <w:numId w:val="29"/>
        </w:numPr>
      </w:pPr>
      <w:r w:rsidRPr="00E84C0F">
        <w:t xml:space="preserve">Paragraph </w:t>
      </w:r>
      <w:r w:rsidR="0061343B">
        <w:t xml:space="preserve">R320.7 B of </w:t>
      </w:r>
      <w:r w:rsidR="0061343B" w:rsidRPr="000A44AA">
        <w:t>the ICAS Code of Ethics states</w:t>
      </w:r>
      <w:r w:rsidR="0061343B">
        <w:t xml:space="preserve"> that </w:t>
      </w:r>
      <w:r w:rsidR="009F44F2">
        <w:t>if the existing accountant has made one or more suspicious activity reports</w:t>
      </w:r>
      <w:r w:rsidR="00E9119B">
        <w:t>, this fact should not be disclosed to the proposed accountant or make other disclosure</w:t>
      </w:r>
      <w:r w:rsidR="00D86B8B">
        <w:t>s</w:t>
      </w:r>
      <w:r w:rsidR="00E9119B">
        <w:t xml:space="preserve"> which could amount to tipping off. </w:t>
      </w:r>
    </w:p>
    <w:p w14:paraId="686959AD" w14:textId="428FEFE3" w:rsidR="00D3518E" w:rsidRDefault="00183BB4" w:rsidP="00DA28D1">
      <w:pPr>
        <w:pStyle w:val="ICASBody"/>
        <w:ind w:left="720"/>
      </w:pPr>
      <w:r>
        <w:t xml:space="preserve">The purpose of the enquiry letter is to allow the incoming professional accountant to </w:t>
      </w:r>
      <w:r w:rsidR="00B66257">
        <w:t xml:space="preserve">establish whether there are any reasons why they may not </w:t>
      </w:r>
      <w:r>
        <w:t>wish to act</w:t>
      </w:r>
      <w:r w:rsidR="00B66257">
        <w:t xml:space="preserve">. </w:t>
      </w:r>
      <w:proofErr w:type="gramStart"/>
      <w:r w:rsidR="00B66257">
        <w:t>By definition, at</w:t>
      </w:r>
      <w:proofErr w:type="gramEnd"/>
      <w:r w:rsidR="00B66257">
        <w:t xml:space="preserve"> that stage of enquiry</w:t>
      </w:r>
      <w:r w:rsidR="006C45FD">
        <w:t>,</w:t>
      </w:r>
      <w:r w:rsidR="00B66257">
        <w:t xml:space="preserve"> they are not </w:t>
      </w:r>
      <w:r w:rsidR="00597BAE">
        <w:t xml:space="preserve">acting as professional accountant to the client and therefore the exemption </w:t>
      </w:r>
      <w:r w:rsidR="008258E5">
        <w:t>highlighted under item 2 of exceptions to disclosure above do not apply.</w:t>
      </w:r>
    </w:p>
    <w:p w14:paraId="25C71104" w14:textId="6DE43F9D" w:rsidR="00965B51" w:rsidRDefault="00E155E1" w:rsidP="00DA28D1">
      <w:pPr>
        <w:pStyle w:val="ICASBody"/>
        <w:ind w:left="720"/>
      </w:pPr>
      <w:r>
        <w:t xml:space="preserve">Any queries that relate to </w:t>
      </w:r>
      <w:r w:rsidR="00055072">
        <w:t>suspicions of money laundering</w:t>
      </w:r>
      <w:r w:rsidR="00352F65">
        <w:t xml:space="preserve"> should be avoided. </w:t>
      </w:r>
      <w:r w:rsidR="001472D8">
        <w:t xml:space="preserve">However, you should respond to the </w:t>
      </w:r>
      <w:r w:rsidR="00821107">
        <w:t xml:space="preserve">professional enquiry </w:t>
      </w:r>
      <w:r w:rsidR="00173B08">
        <w:t>in an honest and unambiguous manner</w:t>
      </w:r>
      <w:r w:rsidR="00300E84">
        <w:t xml:space="preserve">, including </w:t>
      </w:r>
      <w:r w:rsidR="005C79C7">
        <w:t xml:space="preserve">only statements of fact </w:t>
      </w:r>
      <w:r w:rsidR="00932983">
        <w:t xml:space="preserve">to allow the incoming accountant to form their own conclusion. </w:t>
      </w:r>
    </w:p>
    <w:p w14:paraId="56B4D3E2" w14:textId="037118DC" w:rsidR="00956438" w:rsidRPr="00DA28D1" w:rsidRDefault="00162074" w:rsidP="008018BC">
      <w:pPr>
        <w:pStyle w:val="ListParagraph"/>
        <w:numPr>
          <w:ilvl w:val="0"/>
          <w:numId w:val="17"/>
        </w:numPr>
        <w:spacing w:before="120" w:after="120"/>
        <w:jc w:val="both"/>
        <w:rPr>
          <w:rStyle w:val="IntenseEmphasis"/>
        </w:rPr>
      </w:pPr>
      <w:r w:rsidRPr="00DA28D1">
        <w:rPr>
          <w:rStyle w:val="IntenseEmphasis"/>
        </w:rPr>
        <w:t xml:space="preserve">I would like to resign as accountant </w:t>
      </w:r>
      <w:r w:rsidR="009E15C0" w:rsidRPr="00DA28D1">
        <w:rPr>
          <w:rStyle w:val="IntenseEmphasis"/>
        </w:rPr>
        <w:t xml:space="preserve">for my client who is currently under police investigation. Can I </w:t>
      </w:r>
      <w:r w:rsidR="00D47B7F" w:rsidRPr="00DA28D1">
        <w:rPr>
          <w:rStyle w:val="IntenseEmphasis"/>
        </w:rPr>
        <w:t>notify them of this</w:t>
      </w:r>
      <w:r w:rsidR="009E15C0" w:rsidRPr="00DA28D1">
        <w:rPr>
          <w:rStyle w:val="IntenseEmphasis"/>
        </w:rPr>
        <w:t xml:space="preserve"> reason? </w:t>
      </w:r>
    </w:p>
    <w:p w14:paraId="7A13157B" w14:textId="1F8D4148" w:rsidR="00CD492A" w:rsidRPr="00DA28D1" w:rsidRDefault="008B7CD7" w:rsidP="008018BC">
      <w:pPr>
        <w:pStyle w:val="ICASBody"/>
        <w:numPr>
          <w:ilvl w:val="0"/>
          <w:numId w:val="30"/>
        </w:numPr>
        <w:spacing w:before="120" w:after="120"/>
        <w:jc w:val="both"/>
      </w:pPr>
      <w:r>
        <w:t xml:space="preserve">This will </w:t>
      </w:r>
      <w:r w:rsidR="005E5C8F">
        <w:t>depend on</w:t>
      </w:r>
      <w:r>
        <w:t xml:space="preserve"> </w:t>
      </w:r>
      <w:r w:rsidR="00A83D60">
        <w:t>whether</w:t>
      </w:r>
      <w:r>
        <w:t xml:space="preserve"> your client is aware of the investigation or not. </w:t>
      </w:r>
      <w:r w:rsidR="00B825AD">
        <w:t xml:space="preserve">If they are aware of the </w:t>
      </w:r>
      <w:r w:rsidR="00A56A9A">
        <w:t>investigation,</w:t>
      </w:r>
      <w:r w:rsidR="00B825AD">
        <w:t xml:space="preserve"> then clearly</w:t>
      </w:r>
      <w:r w:rsidR="00CD69FE">
        <w:t xml:space="preserve"> that investigation will not be prejudiced </w:t>
      </w:r>
      <w:r w:rsidR="00A56A9A">
        <w:t>if</w:t>
      </w:r>
      <w:r w:rsidR="00CD69FE">
        <w:t xml:space="preserve"> </w:t>
      </w:r>
      <w:r w:rsidR="00FF48B1">
        <w:t xml:space="preserve">you tell your client you are resigning </w:t>
      </w:r>
      <w:r w:rsidR="00A83D60">
        <w:t>because of</w:t>
      </w:r>
      <w:r w:rsidR="00FD3DF7">
        <w:t xml:space="preserve"> it</w:t>
      </w:r>
      <w:r w:rsidR="00FF48B1">
        <w:t xml:space="preserve">. However, if you have been notified of the </w:t>
      </w:r>
      <w:r w:rsidR="00A56A9A">
        <w:t xml:space="preserve">investigation in some other way </w:t>
      </w:r>
      <w:r w:rsidR="00836532">
        <w:t xml:space="preserve">then care must be taken as client might not yet be aware, in which case telling the reason for the resignation </w:t>
      </w:r>
      <w:r w:rsidR="00FD3DF7">
        <w:t>may</w:t>
      </w:r>
      <w:r w:rsidR="00836532">
        <w:t xml:space="preserve"> cons</w:t>
      </w:r>
      <w:r w:rsidR="008B0E26">
        <w:t xml:space="preserve">titute tipping off. </w:t>
      </w:r>
    </w:p>
    <w:p w14:paraId="432193AD" w14:textId="263CAC5D" w:rsidR="00495372" w:rsidRPr="00162A9C" w:rsidRDefault="00495372" w:rsidP="005B08B0">
      <w:pPr>
        <w:pStyle w:val="ListParagraph"/>
        <w:spacing w:before="120" w:after="120"/>
        <w:ind w:left="720" w:firstLine="0"/>
        <w:rPr>
          <w:sz w:val="20"/>
          <w:szCs w:val="20"/>
        </w:rPr>
      </w:pPr>
    </w:p>
    <w:p w14:paraId="4EDFB01A" w14:textId="35FC9A18" w:rsidR="00533426" w:rsidRPr="00E423CD" w:rsidRDefault="00533426" w:rsidP="00E423CD">
      <w:pPr>
        <w:spacing w:before="120" w:after="120"/>
        <w:ind w:left="851" w:hanging="567"/>
        <w:rPr>
          <w:b/>
          <w:bCs/>
          <w:sz w:val="20"/>
          <w:szCs w:val="20"/>
        </w:rPr>
      </w:pPr>
    </w:p>
    <w:p w14:paraId="7B27458F" w14:textId="7461CD0F" w:rsidR="00B115FE" w:rsidRDefault="00B115FE">
      <w:pPr>
        <w:rPr>
          <w:b/>
          <w:bCs/>
        </w:rPr>
      </w:pPr>
      <w:r>
        <w:rPr>
          <w:b/>
          <w:bCs/>
        </w:rPr>
        <w:br w:type="page"/>
      </w:r>
    </w:p>
    <w:p w14:paraId="10415BFB" w14:textId="2DF9CCCC" w:rsidR="00144954" w:rsidRPr="0040042F" w:rsidRDefault="0040042F" w:rsidP="00DA28D1">
      <w:pPr>
        <w:pStyle w:val="Heading2"/>
      </w:pPr>
      <w:r w:rsidRPr="34FD072D">
        <w:t>Useful links</w:t>
      </w:r>
    </w:p>
    <w:p w14:paraId="0F6EC92D" w14:textId="0FF5FDAC" w:rsidR="004B67AB" w:rsidRPr="00D23EE9" w:rsidRDefault="00E51240" w:rsidP="00320F66">
      <w:pPr>
        <w:pStyle w:val="ICASBody"/>
        <w:spacing w:after="120"/>
        <w:rPr>
          <w:rStyle w:val="Hyperlink"/>
        </w:rPr>
      </w:pPr>
      <w:hyperlink r:id="rId12" w:history="1">
        <w:r w:rsidR="00841893" w:rsidRPr="00D23EE9">
          <w:rPr>
            <w:rStyle w:val="Hyperlink"/>
          </w:rPr>
          <w:t>CCAB Anti-Money Laundering and Counter-Terrorist Financing Guidance for the Accountancy Sector 202</w:t>
        </w:r>
        <w:r w:rsidR="00DC7435" w:rsidRPr="00D23EE9">
          <w:rPr>
            <w:rStyle w:val="Hyperlink"/>
          </w:rPr>
          <w:t>3</w:t>
        </w:r>
      </w:hyperlink>
    </w:p>
    <w:p w14:paraId="0072F922" w14:textId="77777777" w:rsidR="008D2D5E" w:rsidRPr="00D23EE9" w:rsidRDefault="00E51240" w:rsidP="00320F66">
      <w:pPr>
        <w:pStyle w:val="ICASBody"/>
        <w:spacing w:after="120"/>
        <w:rPr>
          <w:rStyle w:val="Hyperlink"/>
        </w:rPr>
      </w:pPr>
      <w:hyperlink r:id="rId13" w:history="1">
        <w:r w:rsidR="008D2D5E" w:rsidRPr="00D23EE9">
          <w:rPr>
            <w:rStyle w:val="Hyperlink"/>
          </w:rPr>
          <w:t>Proceeds of Crime Act (2002) (POCA)</w:t>
        </w:r>
      </w:hyperlink>
    </w:p>
    <w:p w14:paraId="04799376" w14:textId="0A052F77" w:rsidR="00DA171C" w:rsidRPr="00DA171C" w:rsidRDefault="00DA171C" w:rsidP="00DA28D1">
      <w:pPr>
        <w:pStyle w:val="Heading2"/>
      </w:pPr>
      <w:r w:rsidRPr="34FD072D">
        <w:t>Further information</w:t>
      </w:r>
      <w:r w:rsidR="2A0D2C4D" w:rsidRPr="34FD072D">
        <w:t xml:space="preserve"> and assistance</w:t>
      </w:r>
    </w:p>
    <w:p w14:paraId="09DB4D1F" w14:textId="78C5BA5E" w:rsidR="008A1834" w:rsidRPr="00144954" w:rsidRDefault="00A21595" w:rsidP="00DA28D1">
      <w:pPr>
        <w:pStyle w:val="ICASBody"/>
      </w:pPr>
      <w:r>
        <w:t>If in doubt, you should seek advice and f</w:t>
      </w:r>
      <w:r w:rsidR="2A0D2C4D" w:rsidRPr="34FD072D">
        <w:t xml:space="preserve">urther assistance from the Practice Support team. You can contact them through the Practice Support section of the </w:t>
      </w:r>
      <w:hyperlink r:id="rId14">
        <w:r w:rsidR="2A0D2C4D" w:rsidRPr="00DA28D1">
          <w:rPr>
            <w:rStyle w:val="Hyperlink"/>
          </w:rPr>
          <w:t>ICAS Technical helpdesk</w:t>
        </w:r>
      </w:hyperlink>
      <w:r w:rsidR="2A0D2C4D" w:rsidRPr="34FD072D">
        <w:t>.</w:t>
      </w:r>
    </w:p>
    <w:p w14:paraId="03B1667E" w14:textId="231C7556" w:rsidR="008A1834" w:rsidRPr="00144954" w:rsidRDefault="008A1834" w:rsidP="34FD072D">
      <w:pPr>
        <w:jc w:val="both"/>
        <w:rPr>
          <w:b/>
          <w:bCs/>
          <w:sz w:val="20"/>
          <w:szCs w:val="20"/>
        </w:rPr>
      </w:pPr>
    </w:p>
    <w:p w14:paraId="1D4A8B2D" w14:textId="548BABDF" w:rsidR="008A1834" w:rsidRDefault="008A1834" w:rsidP="00880E84">
      <w:pPr>
        <w:jc w:val="both"/>
        <w:rPr>
          <w:b/>
          <w:bCs/>
          <w:sz w:val="20"/>
          <w:szCs w:val="20"/>
        </w:rPr>
      </w:pPr>
    </w:p>
    <w:p w14:paraId="3AAF52B0" w14:textId="7303F6BC" w:rsidR="009F6FE7" w:rsidRDefault="009F6FE7" w:rsidP="00880E84">
      <w:pPr>
        <w:jc w:val="both"/>
        <w:rPr>
          <w:b/>
          <w:bCs/>
          <w:sz w:val="20"/>
          <w:szCs w:val="20"/>
        </w:rPr>
      </w:pPr>
    </w:p>
    <w:p w14:paraId="7A1D9177" w14:textId="5B627625" w:rsidR="009F6FE7" w:rsidRDefault="009F6FE7" w:rsidP="00880E84">
      <w:pPr>
        <w:jc w:val="both"/>
        <w:rPr>
          <w:b/>
          <w:bCs/>
          <w:sz w:val="20"/>
          <w:szCs w:val="20"/>
        </w:rPr>
      </w:pPr>
    </w:p>
    <w:p w14:paraId="6B5B4347" w14:textId="2730F2D4" w:rsidR="009F6FE7" w:rsidRDefault="009F6FE7" w:rsidP="00880E84">
      <w:pPr>
        <w:jc w:val="both"/>
        <w:rPr>
          <w:b/>
          <w:bCs/>
          <w:sz w:val="20"/>
          <w:szCs w:val="20"/>
        </w:rPr>
      </w:pPr>
    </w:p>
    <w:p w14:paraId="1BE0888F" w14:textId="0FE38BC0" w:rsidR="009F6FE7" w:rsidRDefault="009F6FE7" w:rsidP="00880E84">
      <w:pPr>
        <w:jc w:val="both"/>
        <w:rPr>
          <w:b/>
          <w:bCs/>
          <w:sz w:val="20"/>
          <w:szCs w:val="20"/>
        </w:rPr>
      </w:pPr>
    </w:p>
    <w:p w14:paraId="27750843" w14:textId="4FCABF11" w:rsidR="009F6FE7" w:rsidRDefault="009F6FE7" w:rsidP="00880E84">
      <w:pPr>
        <w:jc w:val="both"/>
        <w:rPr>
          <w:b/>
          <w:bCs/>
          <w:sz w:val="20"/>
          <w:szCs w:val="20"/>
        </w:rPr>
      </w:pPr>
    </w:p>
    <w:p w14:paraId="3010C904" w14:textId="0EFC7021" w:rsidR="009F6FE7" w:rsidRDefault="009F6FE7" w:rsidP="00880E84">
      <w:pPr>
        <w:jc w:val="both"/>
        <w:rPr>
          <w:b/>
          <w:bCs/>
          <w:sz w:val="20"/>
          <w:szCs w:val="20"/>
        </w:rPr>
      </w:pPr>
    </w:p>
    <w:p w14:paraId="05665505" w14:textId="41D848AE" w:rsidR="009F6FE7" w:rsidRDefault="009F6FE7" w:rsidP="00880E84">
      <w:pPr>
        <w:jc w:val="both"/>
        <w:rPr>
          <w:b/>
          <w:bCs/>
          <w:sz w:val="20"/>
          <w:szCs w:val="20"/>
        </w:rPr>
      </w:pPr>
    </w:p>
    <w:p w14:paraId="216906F7" w14:textId="553CFDB5" w:rsidR="009F6FE7" w:rsidRDefault="009F6FE7" w:rsidP="00880E84">
      <w:pPr>
        <w:jc w:val="both"/>
        <w:rPr>
          <w:b/>
          <w:bCs/>
          <w:sz w:val="20"/>
          <w:szCs w:val="20"/>
        </w:rPr>
      </w:pPr>
    </w:p>
    <w:p w14:paraId="1FDDE9A3" w14:textId="1F58E6BC" w:rsidR="009F6FE7" w:rsidRDefault="009F6FE7" w:rsidP="00880E84">
      <w:pPr>
        <w:jc w:val="both"/>
        <w:rPr>
          <w:b/>
          <w:bCs/>
          <w:sz w:val="20"/>
          <w:szCs w:val="20"/>
        </w:rPr>
      </w:pPr>
    </w:p>
    <w:p w14:paraId="30988FF1" w14:textId="67D6DBA0" w:rsidR="009F6FE7" w:rsidRDefault="009F6FE7" w:rsidP="00880E84">
      <w:pPr>
        <w:jc w:val="both"/>
        <w:rPr>
          <w:b/>
          <w:bCs/>
          <w:sz w:val="20"/>
          <w:szCs w:val="20"/>
        </w:rPr>
      </w:pPr>
    </w:p>
    <w:p w14:paraId="38B4897A" w14:textId="010AECEF" w:rsidR="009F6FE7" w:rsidRDefault="009F6FE7" w:rsidP="00880E84">
      <w:pPr>
        <w:jc w:val="both"/>
        <w:rPr>
          <w:b/>
          <w:bCs/>
          <w:sz w:val="20"/>
          <w:szCs w:val="20"/>
        </w:rPr>
      </w:pPr>
    </w:p>
    <w:p w14:paraId="1B30379C" w14:textId="23D22AA6" w:rsidR="009F6FE7" w:rsidRDefault="009F6FE7" w:rsidP="00880E84">
      <w:pPr>
        <w:jc w:val="both"/>
        <w:rPr>
          <w:b/>
          <w:bCs/>
          <w:sz w:val="20"/>
          <w:szCs w:val="20"/>
        </w:rPr>
      </w:pPr>
    </w:p>
    <w:p w14:paraId="50BAF284" w14:textId="2EF689BC" w:rsidR="009F6FE7" w:rsidRDefault="009F6FE7" w:rsidP="00880E84">
      <w:pPr>
        <w:jc w:val="both"/>
        <w:rPr>
          <w:b/>
          <w:bCs/>
          <w:sz w:val="20"/>
          <w:szCs w:val="20"/>
        </w:rPr>
      </w:pPr>
    </w:p>
    <w:p w14:paraId="430EAFF0" w14:textId="25805E55" w:rsidR="009F6FE7" w:rsidRDefault="009F6FE7" w:rsidP="00880E84">
      <w:pPr>
        <w:jc w:val="both"/>
        <w:rPr>
          <w:b/>
          <w:bCs/>
          <w:sz w:val="20"/>
          <w:szCs w:val="20"/>
        </w:rPr>
      </w:pPr>
    </w:p>
    <w:p w14:paraId="48AFBC0B" w14:textId="18CDD1AF" w:rsidR="009F6FE7" w:rsidRDefault="009F6FE7" w:rsidP="00880E84">
      <w:pPr>
        <w:jc w:val="both"/>
        <w:rPr>
          <w:b/>
          <w:bCs/>
          <w:sz w:val="20"/>
          <w:szCs w:val="20"/>
        </w:rPr>
      </w:pPr>
    </w:p>
    <w:p w14:paraId="2AF1D854" w14:textId="1B04D95F" w:rsidR="009F6FE7" w:rsidRDefault="009F6FE7" w:rsidP="00880E84">
      <w:pPr>
        <w:jc w:val="both"/>
        <w:rPr>
          <w:b/>
          <w:bCs/>
          <w:sz w:val="20"/>
          <w:szCs w:val="20"/>
        </w:rPr>
      </w:pPr>
    </w:p>
    <w:p w14:paraId="2413D699" w14:textId="281C7131" w:rsidR="009F6FE7" w:rsidRDefault="009F6FE7" w:rsidP="00880E84">
      <w:pPr>
        <w:jc w:val="both"/>
        <w:rPr>
          <w:b/>
          <w:bCs/>
          <w:sz w:val="20"/>
          <w:szCs w:val="20"/>
        </w:rPr>
      </w:pPr>
    </w:p>
    <w:p w14:paraId="662F34D2" w14:textId="3C0A5C31" w:rsidR="009F6FE7" w:rsidRDefault="009F6FE7" w:rsidP="00880E84">
      <w:pPr>
        <w:jc w:val="both"/>
        <w:rPr>
          <w:b/>
          <w:bCs/>
          <w:sz w:val="20"/>
          <w:szCs w:val="20"/>
        </w:rPr>
      </w:pPr>
    </w:p>
    <w:p w14:paraId="747F9FF6" w14:textId="5F288A3D" w:rsidR="009F6FE7" w:rsidRDefault="009F6FE7" w:rsidP="00880E84">
      <w:pPr>
        <w:jc w:val="both"/>
        <w:rPr>
          <w:b/>
          <w:bCs/>
          <w:sz w:val="20"/>
          <w:szCs w:val="20"/>
        </w:rPr>
      </w:pPr>
    </w:p>
    <w:p w14:paraId="314C3953" w14:textId="544005F5" w:rsidR="009F6FE7" w:rsidRDefault="009F6FE7" w:rsidP="00880E84">
      <w:pPr>
        <w:jc w:val="both"/>
        <w:rPr>
          <w:b/>
          <w:bCs/>
          <w:sz w:val="20"/>
          <w:szCs w:val="20"/>
        </w:rPr>
      </w:pPr>
    </w:p>
    <w:p w14:paraId="37317BEB" w14:textId="006BC024" w:rsidR="009F6FE7" w:rsidRDefault="009F6FE7" w:rsidP="00880E84">
      <w:pPr>
        <w:jc w:val="both"/>
        <w:rPr>
          <w:b/>
          <w:bCs/>
          <w:sz w:val="20"/>
          <w:szCs w:val="20"/>
        </w:rPr>
      </w:pPr>
    </w:p>
    <w:p w14:paraId="40B6C96B" w14:textId="3F59EB62" w:rsidR="009F6FE7" w:rsidRDefault="009F6FE7" w:rsidP="00880E84">
      <w:pPr>
        <w:jc w:val="both"/>
        <w:rPr>
          <w:b/>
          <w:bCs/>
          <w:sz w:val="20"/>
          <w:szCs w:val="20"/>
        </w:rPr>
      </w:pPr>
    </w:p>
    <w:p w14:paraId="0A2629D6" w14:textId="77777777" w:rsidR="00137381" w:rsidRDefault="00137381" w:rsidP="00880E84">
      <w:pPr>
        <w:jc w:val="both"/>
        <w:rPr>
          <w:b/>
          <w:bCs/>
          <w:sz w:val="20"/>
          <w:szCs w:val="20"/>
        </w:rPr>
      </w:pPr>
    </w:p>
    <w:p w14:paraId="0482BB2B" w14:textId="77777777" w:rsidR="00137381" w:rsidRDefault="00137381" w:rsidP="00880E84">
      <w:pPr>
        <w:jc w:val="both"/>
        <w:rPr>
          <w:b/>
          <w:bCs/>
          <w:sz w:val="20"/>
          <w:szCs w:val="20"/>
        </w:rPr>
      </w:pPr>
    </w:p>
    <w:p w14:paraId="5E0B6B2B" w14:textId="77777777" w:rsidR="00137381" w:rsidRDefault="00137381" w:rsidP="00880E84">
      <w:pPr>
        <w:jc w:val="both"/>
        <w:rPr>
          <w:b/>
          <w:bCs/>
          <w:sz w:val="20"/>
          <w:szCs w:val="20"/>
        </w:rPr>
      </w:pPr>
    </w:p>
    <w:p w14:paraId="77A7E7EA" w14:textId="7F78E9A0" w:rsidR="009F6FE7" w:rsidRDefault="009F6FE7" w:rsidP="00880E84">
      <w:pPr>
        <w:jc w:val="both"/>
        <w:rPr>
          <w:b/>
          <w:bCs/>
          <w:sz w:val="20"/>
          <w:szCs w:val="20"/>
        </w:rPr>
      </w:pPr>
    </w:p>
    <w:p w14:paraId="5CA7956F" w14:textId="241CBC56" w:rsidR="009F6FE7" w:rsidRDefault="009F6FE7" w:rsidP="00880E84">
      <w:pPr>
        <w:jc w:val="both"/>
        <w:rPr>
          <w:b/>
          <w:bCs/>
          <w:sz w:val="20"/>
          <w:szCs w:val="20"/>
        </w:rPr>
      </w:pPr>
    </w:p>
    <w:p w14:paraId="7D71F020" w14:textId="1716075E" w:rsidR="009F6FE7" w:rsidRDefault="009F6FE7" w:rsidP="00880E84">
      <w:pPr>
        <w:jc w:val="both"/>
        <w:rPr>
          <w:b/>
          <w:bCs/>
          <w:sz w:val="20"/>
          <w:szCs w:val="20"/>
        </w:rPr>
      </w:pPr>
    </w:p>
    <w:p w14:paraId="432571D9" w14:textId="0E8D5D5D" w:rsidR="009F6FE7" w:rsidRDefault="009F6FE7" w:rsidP="00880E84">
      <w:pPr>
        <w:jc w:val="both"/>
        <w:rPr>
          <w:b/>
          <w:bCs/>
          <w:sz w:val="20"/>
          <w:szCs w:val="20"/>
        </w:rPr>
      </w:pPr>
    </w:p>
    <w:p w14:paraId="60436FDB" w14:textId="162711CF" w:rsidR="009F6FE7" w:rsidRDefault="009F6FE7" w:rsidP="00880E84">
      <w:pPr>
        <w:jc w:val="both"/>
        <w:rPr>
          <w:b/>
          <w:bCs/>
          <w:sz w:val="20"/>
          <w:szCs w:val="20"/>
        </w:rPr>
      </w:pPr>
    </w:p>
    <w:p w14:paraId="45973658" w14:textId="550C97C6" w:rsidR="009F6FE7" w:rsidRDefault="009F6FE7" w:rsidP="00880E84">
      <w:pPr>
        <w:jc w:val="both"/>
        <w:rPr>
          <w:b/>
          <w:bCs/>
          <w:sz w:val="20"/>
          <w:szCs w:val="20"/>
        </w:rPr>
      </w:pPr>
    </w:p>
    <w:p w14:paraId="0B2844EC" w14:textId="77777777" w:rsidR="009F6FE7" w:rsidRPr="00144954" w:rsidRDefault="009F6FE7" w:rsidP="00880E84">
      <w:pPr>
        <w:jc w:val="both"/>
        <w:rPr>
          <w:b/>
          <w:bCs/>
          <w:sz w:val="20"/>
          <w:szCs w:val="20"/>
        </w:rPr>
      </w:pPr>
    </w:p>
    <w:p w14:paraId="2DDB5EA9" w14:textId="77777777" w:rsidR="00880E84" w:rsidRPr="00137381" w:rsidRDefault="00880E84" w:rsidP="00880E84">
      <w:pPr>
        <w:jc w:val="both"/>
        <w:rPr>
          <w:b/>
          <w:bCs/>
          <w:sz w:val="18"/>
          <w:szCs w:val="18"/>
        </w:rPr>
      </w:pPr>
    </w:p>
    <w:p w14:paraId="4A21B02D" w14:textId="2144C7E6" w:rsidR="00880E84" w:rsidRPr="00137381" w:rsidRDefault="00880E84" w:rsidP="00DA28D1">
      <w:pPr>
        <w:pStyle w:val="ICASBoxOutHeading"/>
        <w:rPr>
          <w:sz w:val="18"/>
          <w:szCs w:val="18"/>
        </w:rPr>
      </w:pPr>
      <w:r w:rsidRPr="00137381">
        <w:rPr>
          <w:sz w:val="18"/>
          <w:szCs w:val="18"/>
        </w:rPr>
        <w:t>Disclaimer:</w:t>
      </w:r>
    </w:p>
    <w:p w14:paraId="0970923B" w14:textId="77777777" w:rsidR="00880E84" w:rsidRPr="00137381" w:rsidRDefault="00880E84" w:rsidP="00DA28D1">
      <w:pPr>
        <w:pStyle w:val="ICASBoxOutBody"/>
        <w:rPr>
          <w:sz w:val="18"/>
          <w:szCs w:val="18"/>
        </w:rPr>
      </w:pPr>
    </w:p>
    <w:p w14:paraId="3EA699C8" w14:textId="3FE00C01" w:rsidR="00880E84" w:rsidRPr="00137381" w:rsidRDefault="00880E84" w:rsidP="00DA28D1">
      <w:pPr>
        <w:pStyle w:val="ICASBoxOutBody"/>
        <w:rPr>
          <w:sz w:val="18"/>
          <w:szCs w:val="18"/>
        </w:rPr>
      </w:pPr>
      <w:r w:rsidRPr="00137381">
        <w:rPr>
          <w:sz w:val="18"/>
          <w:szCs w:val="18"/>
        </w:rPr>
        <w:t xml:space="preserve">This document has been published by ICAS for information purposes only and ICAS cannot accept responsibility for any person acting or refraining to act </w:t>
      </w:r>
      <w:proofErr w:type="gramStart"/>
      <w:r w:rsidRPr="00137381">
        <w:rPr>
          <w:sz w:val="18"/>
          <w:szCs w:val="18"/>
        </w:rPr>
        <w:t>as a result of</w:t>
      </w:r>
      <w:proofErr w:type="gramEnd"/>
      <w:r w:rsidRPr="00137381">
        <w:rPr>
          <w:sz w:val="18"/>
          <w:szCs w:val="18"/>
        </w:rPr>
        <w:t xml:space="preserve"> any material contained within this guidance. Recipients should make their own independent evaluation of this information and no action should be taken, solely relying on it. The </w:t>
      </w:r>
      <w:r w:rsidR="006C31CC" w:rsidRPr="00137381">
        <w:rPr>
          <w:sz w:val="18"/>
          <w:szCs w:val="18"/>
        </w:rPr>
        <w:t>document</w:t>
      </w:r>
      <w:r w:rsidRPr="00137381">
        <w:rPr>
          <w:sz w:val="18"/>
          <w:szCs w:val="18"/>
        </w:rPr>
        <w:t xml:space="preserve"> is intended to assist members in the general application of the </w:t>
      </w:r>
      <w:r w:rsidR="006C31CC" w:rsidRPr="00137381">
        <w:rPr>
          <w:sz w:val="18"/>
          <w:szCs w:val="18"/>
        </w:rPr>
        <w:t>subject</w:t>
      </w:r>
      <w:r w:rsidRPr="00137381">
        <w:rPr>
          <w:sz w:val="18"/>
          <w:szCs w:val="18"/>
        </w:rPr>
        <w:t xml:space="preserve">, it is not intended to cover all aspects. </w:t>
      </w:r>
    </w:p>
    <w:p w14:paraId="186657EA" w14:textId="77777777" w:rsidR="00880E84" w:rsidRPr="00137381" w:rsidRDefault="00880E84" w:rsidP="00DA28D1">
      <w:pPr>
        <w:pStyle w:val="ICASBoxOutBody"/>
        <w:rPr>
          <w:sz w:val="18"/>
          <w:szCs w:val="18"/>
        </w:rPr>
      </w:pPr>
    </w:p>
    <w:p w14:paraId="29475FB6" w14:textId="77777777" w:rsidR="00880E84" w:rsidRPr="00137381" w:rsidRDefault="00880E84" w:rsidP="00DA28D1">
      <w:pPr>
        <w:pStyle w:val="ICASBoxOutBody"/>
        <w:rPr>
          <w:sz w:val="18"/>
          <w:szCs w:val="18"/>
        </w:rPr>
      </w:pPr>
      <w:r w:rsidRPr="00137381">
        <w:rPr>
          <w:sz w:val="18"/>
          <w:szCs w:val="18"/>
        </w:rPr>
        <w:t>Whilst this information is believed to be reliable, ICAS, its employees and others involved in the production of this information do not provide any representation or warranty (express or implied) of any kind as regards the accuracy or completeness of this information, nor do they accept any responsibility or liability for loss or damage arising in any way from any use made of or reliance placed on this information.</w:t>
      </w:r>
    </w:p>
    <w:p w14:paraId="322F8955" w14:textId="77777777" w:rsidR="00880E84" w:rsidRPr="00137381" w:rsidRDefault="00880E84" w:rsidP="00DA28D1">
      <w:pPr>
        <w:pStyle w:val="ICASBoxOutBody"/>
        <w:rPr>
          <w:sz w:val="18"/>
          <w:szCs w:val="18"/>
        </w:rPr>
      </w:pPr>
    </w:p>
    <w:p w14:paraId="305F1126" w14:textId="64B44EE7" w:rsidR="00880E84" w:rsidRPr="00137381" w:rsidRDefault="00880E84" w:rsidP="00DA28D1">
      <w:pPr>
        <w:pStyle w:val="ICASBoxOutBody"/>
        <w:rPr>
          <w:sz w:val="18"/>
          <w:szCs w:val="18"/>
        </w:rPr>
      </w:pPr>
      <w:r w:rsidRPr="00137381">
        <w:rPr>
          <w:sz w:val="18"/>
          <w:szCs w:val="18"/>
        </w:rPr>
        <w:t>All information is believed to be correct at the time of publication.</w:t>
      </w:r>
    </w:p>
    <w:sectPr w:rsidR="00880E84" w:rsidRPr="00137381" w:rsidSect="005115D5">
      <w:headerReference w:type="default" r:id="rId15"/>
      <w:footerReference w:type="default" r:id="rId16"/>
      <w:pgSz w:w="11910" w:h="16850"/>
      <w:pgMar w:top="1400" w:right="1278" w:bottom="1200" w:left="1300" w:header="72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6E33C" w14:textId="77777777" w:rsidR="007A5407" w:rsidRDefault="007A5407">
      <w:r>
        <w:separator/>
      </w:r>
    </w:p>
  </w:endnote>
  <w:endnote w:type="continuationSeparator" w:id="0">
    <w:p w14:paraId="1BBB2D25" w14:textId="77777777" w:rsidR="007A5407" w:rsidRDefault="007A5407">
      <w:r>
        <w:continuationSeparator/>
      </w:r>
    </w:p>
  </w:endnote>
  <w:endnote w:type="continuationNotice" w:id="1">
    <w:p w14:paraId="3352D495" w14:textId="77777777" w:rsidR="007A5407" w:rsidRDefault="007A54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5BCA7" w14:textId="6C187C3A" w:rsidR="00033FD4" w:rsidRDefault="00033FD4">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2F2DF" w14:textId="77777777" w:rsidR="007A5407" w:rsidRDefault="007A5407">
      <w:r>
        <w:separator/>
      </w:r>
    </w:p>
  </w:footnote>
  <w:footnote w:type="continuationSeparator" w:id="0">
    <w:p w14:paraId="74EA2893" w14:textId="77777777" w:rsidR="007A5407" w:rsidRDefault="007A5407">
      <w:r>
        <w:continuationSeparator/>
      </w:r>
    </w:p>
  </w:footnote>
  <w:footnote w:type="continuationNotice" w:id="1">
    <w:p w14:paraId="2C7CE82A" w14:textId="77777777" w:rsidR="007A5407" w:rsidRDefault="007A54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C2A32" w14:textId="0B508088" w:rsidR="00DD2889" w:rsidRDefault="00DD1BAB">
    <w:pPr>
      <w:pStyle w:val="BodyText"/>
      <w:spacing w:line="14" w:lineRule="auto"/>
    </w:pPr>
    <w:r w:rsidRPr="00CC6145">
      <w:rPr>
        <w:noProof/>
        <w:color w:val="8493A8"/>
      </w:rPr>
      <w:drawing>
        <wp:anchor distT="0" distB="0" distL="114300" distR="114300" simplePos="0" relativeHeight="251658240" behindDoc="0" locked="0" layoutInCell="1" allowOverlap="1" wp14:anchorId="2A5F97CE" wp14:editId="4126A881">
          <wp:simplePos x="0" y="0"/>
          <wp:positionH relativeFrom="margin">
            <wp:posOffset>5327374</wp:posOffset>
          </wp:positionH>
          <wp:positionV relativeFrom="paragraph">
            <wp:posOffset>-190527</wp:posOffset>
          </wp:positionV>
          <wp:extent cx="596265" cy="615950"/>
          <wp:effectExtent l="0" t="0" r="0" b="0"/>
          <wp:wrapThrough wrapText="bothSides">
            <wp:wrapPolygon edited="0">
              <wp:start x="690" y="0"/>
              <wp:lineTo x="0" y="668"/>
              <wp:lineTo x="0" y="20709"/>
              <wp:lineTo x="20013" y="20709"/>
              <wp:lineTo x="20703" y="19373"/>
              <wp:lineTo x="20703" y="0"/>
              <wp:lineTo x="690" y="0"/>
            </wp:wrapPolygon>
          </wp:wrapThrough>
          <wp:docPr id="972392436" name="Picture 972392436" descr="A blue square with white lett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857606" name="Picture 1" descr="A blue square with white letter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96265" cy="615950"/>
                  </a:xfrm>
                  <a:prstGeom prst="rect">
                    <a:avLst/>
                  </a:prstGeom>
                </pic:spPr>
              </pic:pic>
            </a:graphicData>
          </a:graphic>
          <wp14:sizeRelH relativeFrom="margin">
            <wp14:pctWidth>0</wp14:pctWidth>
          </wp14:sizeRelH>
          <wp14:sizeRelV relativeFrom="margin">
            <wp14:pctHeight>0</wp14:pctHeight>
          </wp14:sizeRelV>
        </wp:anchor>
      </w:drawing>
    </w:r>
  </w:p>
  <w:p w14:paraId="5776E989" w14:textId="0AB049D1" w:rsidR="00033FD4" w:rsidRDefault="00033FD4">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85285"/>
    <w:multiLevelType w:val="hybridMultilevel"/>
    <w:tmpl w:val="1C566ECA"/>
    <w:lvl w:ilvl="0" w:tplc="C4348922">
      <w:start w:val="17"/>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DA4342"/>
    <w:multiLevelType w:val="hybridMultilevel"/>
    <w:tmpl w:val="E0DACB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E0CD3"/>
    <w:multiLevelType w:val="hybridMultilevel"/>
    <w:tmpl w:val="645ED26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63222A8"/>
    <w:multiLevelType w:val="hybridMultilevel"/>
    <w:tmpl w:val="90800F12"/>
    <w:lvl w:ilvl="0" w:tplc="97ECBA16">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4629AA"/>
    <w:multiLevelType w:val="hybridMultilevel"/>
    <w:tmpl w:val="C032D80E"/>
    <w:lvl w:ilvl="0" w:tplc="1FB25474">
      <w:start w:val="1"/>
      <w:numFmt w:val="bullet"/>
      <w:pStyle w:val="ICASBulletssecondlevel"/>
      <w:lvlText w:val=""/>
      <w:lvlJc w:val="left"/>
      <w:pPr>
        <w:ind w:left="454" w:hanging="170"/>
      </w:pPr>
      <w:rPr>
        <w:rFonts w:ascii="Symbol" w:hAnsi="Symbol" w:hint="default"/>
        <w:color w:val="58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8269AD"/>
    <w:multiLevelType w:val="hybridMultilevel"/>
    <w:tmpl w:val="D3BC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1564A"/>
    <w:multiLevelType w:val="hybridMultilevel"/>
    <w:tmpl w:val="893EB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DA47DA"/>
    <w:multiLevelType w:val="hybridMultilevel"/>
    <w:tmpl w:val="66B84032"/>
    <w:lvl w:ilvl="0" w:tplc="B67685E0">
      <w:start w:val="17"/>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DD6737"/>
    <w:multiLevelType w:val="hybridMultilevel"/>
    <w:tmpl w:val="0C381528"/>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9947F3"/>
    <w:multiLevelType w:val="hybridMultilevel"/>
    <w:tmpl w:val="112E982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B76F97"/>
    <w:multiLevelType w:val="hybridMultilevel"/>
    <w:tmpl w:val="740C59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17444A"/>
    <w:multiLevelType w:val="hybridMultilevel"/>
    <w:tmpl w:val="9E42B4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301D93"/>
    <w:multiLevelType w:val="hybridMultilevel"/>
    <w:tmpl w:val="96EEB364"/>
    <w:lvl w:ilvl="0" w:tplc="7236E7CE">
      <w:start w:val="17"/>
      <w:numFmt w:val="upperLetter"/>
      <w:lvlText w:val="%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9577C08"/>
    <w:multiLevelType w:val="hybridMultilevel"/>
    <w:tmpl w:val="36BC331E"/>
    <w:lvl w:ilvl="0" w:tplc="C1405CAA">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F91C54"/>
    <w:multiLevelType w:val="hybridMultilevel"/>
    <w:tmpl w:val="630A0326"/>
    <w:lvl w:ilvl="0" w:tplc="0C28BD2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6E48AB"/>
    <w:multiLevelType w:val="hybridMultilevel"/>
    <w:tmpl w:val="2668F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640AD0"/>
    <w:multiLevelType w:val="hybridMultilevel"/>
    <w:tmpl w:val="60BEB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174D5B"/>
    <w:multiLevelType w:val="hybridMultilevel"/>
    <w:tmpl w:val="CDF001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FA367C"/>
    <w:multiLevelType w:val="hybridMultilevel"/>
    <w:tmpl w:val="BB08D3E0"/>
    <w:lvl w:ilvl="0" w:tplc="E322354A">
      <w:start w:val="17"/>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745B42"/>
    <w:multiLevelType w:val="hybridMultilevel"/>
    <w:tmpl w:val="25E64F42"/>
    <w:lvl w:ilvl="0" w:tplc="EBF80BFE">
      <w:start w:val="1"/>
      <w:numFmt w:val="bullet"/>
      <w:pStyle w:val="Title"/>
      <w:lvlText w:val=""/>
      <w:lvlJc w:val="left"/>
      <w:pPr>
        <w:ind w:left="720" w:hanging="360"/>
      </w:pPr>
      <w:rPr>
        <w:rFonts w:ascii="Symbol" w:hAnsi="Symbol" w:hint="default"/>
        <w:color w:val="4D46D9"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8B67C1C"/>
    <w:multiLevelType w:val="hybridMultilevel"/>
    <w:tmpl w:val="26CE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2B667E"/>
    <w:multiLevelType w:val="hybridMultilevel"/>
    <w:tmpl w:val="875C7FCC"/>
    <w:lvl w:ilvl="0" w:tplc="A9A495A8">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3267B7"/>
    <w:multiLevelType w:val="hybridMultilevel"/>
    <w:tmpl w:val="4568F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6576CC"/>
    <w:multiLevelType w:val="hybridMultilevel"/>
    <w:tmpl w:val="067ADC50"/>
    <w:lvl w:ilvl="0" w:tplc="6CF0AD54">
      <w:start w:val="1"/>
      <w:numFmt w:val="upp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991D6D"/>
    <w:multiLevelType w:val="hybridMultilevel"/>
    <w:tmpl w:val="3AFA1A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3B4D3B"/>
    <w:multiLevelType w:val="hybridMultilevel"/>
    <w:tmpl w:val="645ED2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8646123"/>
    <w:multiLevelType w:val="hybridMultilevel"/>
    <w:tmpl w:val="70C0DB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A2403D2"/>
    <w:multiLevelType w:val="hybridMultilevel"/>
    <w:tmpl w:val="9238EEAC"/>
    <w:lvl w:ilvl="0" w:tplc="D5DE4DE0">
      <w:start w:val="17"/>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E325F4"/>
    <w:multiLevelType w:val="hybridMultilevel"/>
    <w:tmpl w:val="8A28CBCC"/>
    <w:lvl w:ilvl="0" w:tplc="E0501802">
      <w:numFmt w:val="bullet"/>
      <w:lvlText w:val=""/>
      <w:lvlJc w:val="left"/>
      <w:pPr>
        <w:ind w:left="838" w:hanging="360"/>
      </w:pPr>
      <w:rPr>
        <w:rFonts w:ascii="Symbol" w:eastAsia="Symbol" w:hAnsi="Symbol" w:cs="Symbol" w:hint="default"/>
        <w:w w:val="99"/>
        <w:sz w:val="20"/>
        <w:szCs w:val="20"/>
        <w:lang w:val="en-US" w:eastAsia="en-US" w:bidi="en-US"/>
      </w:rPr>
    </w:lvl>
    <w:lvl w:ilvl="1" w:tplc="6C86EA34">
      <w:numFmt w:val="bullet"/>
      <w:lvlText w:val="•"/>
      <w:lvlJc w:val="left"/>
      <w:pPr>
        <w:ind w:left="1756" w:hanging="360"/>
      </w:pPr>
      <w:rPr>
        <w:rFonts w:hint="default"/>
        <w:lang w:val="en-US" w:eastAsia="en-US" w:bidi="en-US"/>
      </w:rPr>
    </w:lvl>
    <w:lvl w:ilvl="2" w:tplc="8E9EA608">
      <w:numFmt w:val="bullet"/>
      <w:lvlText w:val="•"/>
      <w:lvlJc w:val="left"/>
      <w:pPr>
        <w:ind w:left="2673" w:hanging="360"/>
      </w:pPr>
      <w:rPr>
        <w:rFonts w:hint="default"/>
        <w:lang w:val="en-US" w:eastAsia="en-US" w:bidi="en-US"/>
      </w:rPr>
    </w:lvl>
    <w:lvl w:ilvl="3" w:tplc="F9FAA308">
      <w:numFmt w:val="bullet"/>
      <w:lvlText w:val="•"/>
      <w:lvlJc w:val="left"/>
      <w:pPr>
        <w:ind w:left="3589" w:hanging="360"/>
      </w:pPr>
      <w:rPr>
        <w:rFonts w:hint="default"/>
        <w:lang w:val="en-US" w:eastAsia="en-US" w:bidi="en-US"/>
      </w:rPr>
    </w:lvl>
    <w:lvl w:ilvl="4" w:tplc="E154172A">
      <w:numFmt w:val="bullet"/>
      <w:lvlText w:val="•"/>
      <w:lvlJc w:val="left"/>
      <w:pPr>
        <w:ind w:left="4506" w:hanging="360"/>
      </w:pPr>
      <w:rPr>
        <w:rFonts w:hint="default"/>
        <w:lang w:val="en-US" w:eastAsia="en-US" w:bidi="en-US"/>
      </w:rPr>
    </w:lvl>
    <w:lvl w:ilvl="5" w:tplc="F9A6D7D6">
      <w:numFmt w:val="bullet"/>
      <w:lvlText w:val="•"/>
      <w:lvlJc w:val="left"/>
      <w:pPr>
        <w:ind w:left="5423" w:hanging="360"/>
      </w:pPr>
      <w:rPr>
        <w:rFonts w:hint="default"/>
        <w:lang w:val="en-US" w:eastAsia="en-US" w:bidi="en-US"/>
      </w:rPr>
    </w:lvl>
    <w:lvl w:ilvl="6" w:tplc="E06C3882">
      <w:numFmt w:val="bullet"/>
      <w:lvlText w:val="•"/>
      <w:lvlJc w:val="left"/>
      <w:pPr>
        <w:ind w:left="6339" w:hanging="360"/>
      </w:pPr>
      <w:rPr>
        <w:rFonts w:hint="default"/>
        <w:lang w:val="en-US" w:eastAsia="en-US" w:bidi="en-US"/>
      </w:rPr>
    </w:lvl>
    <w:lvl w:ilvl="7" w:tplc="25FCAB82">
      <w:numFmt w:val="bullet"/>
      <w:lvlText w:val="•"/>
      <w:lvlJc w:val="left"/>
      <w:pPr>
        <w:ind w:left="7256" w:hanging="360"/>
      </w:pPr>
      <w:rPr>
        <w:rFonts w:hint="default"/>
        <w:lang w:val="en-US" w:eastAsia="en-US" w:bidi="en-US"/>
      </w:rPr>
    </w:lvl>
    <w:lvl w:ilvl="8" w:tplc="2C9CDB8E">
      <w:numFmt w:val="bullet"/>
      <w:lvlText w:val="•"/>
      <w:lvlJc w:val="left"/>
      <w:pPr>
        <w:ind w:left="8173" w:hanging="360"/>
      </w:pPr>
      <w:rPr>
        <w:rFonts w:hint="default"/>
        <w:lang w:val="en-US" w:eastAsia="en-US" w:bidi="en-US"/>
      </w:rPr>
    </w:lvl>
  </w:abstractNum>
  <w:abstractNum w:abstractNumId="29" w15:restartNumberingAfterBreak="0">
    <w:nsid w:val="7F7F7405"/>
    <w:multiLevelType w:val="multilevel"/>
    <w:tmpl w:val="DE448242"/>
    <w:styleLink w:val="CurrentList1"/>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FDB4F0E"/>
    <w:multiLevelType w:val="hybridMultilevel"/>
    <w:tmpl w:val="45AA1BD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1412449">
    <w:abstractNumId w:val="28"/>
  </w:num>
  <w:num w:numId="2" w16cid:durableId="306861703">
    <w:abstractNumId w:val="15"/>
  </w:num>
  <w:num w:numId="3" w16cid:durableId="1991714906">
    <w:abstractNumId w:val="5"/>
  </w:num>
  <w:num w:numId="4" w16cid:durableId="1271427568">
    <w:abstractNumId w:val="20"/>
  </w:num>
  <w:num w:numId="5" w16cid:durableId="751387589">
    <w:abstractNumId w:val="16"/>
  </w:num>
  <w:num w:numId="6" w16cid:durableId="231624199">
    <w:abstractNumId w:val="22"/>
  </w:num>
  <w:num w:numId="7" w16cid:durableId="46148656">
    <w:abstractNumId w:val="11"/>
  </w:num>
  <w:num w:numId="8" w16cid:durableId="1455099364">
    <w:abstractNumId w:val="6"/>
  </w:num>
  <w:num w:numId="9" w16cid:durableId="1197546779">
    <w:abstractNumId w:val="14"/>
  </w:num>
  <w:num w:numId="10" w16cid:durableId="642005471">
    <w:abstractNumId w:val="8"/>
  </w:num>
  <w:num w:numId="11" w16cid:durableId="1179351869">
    <w:abstractNumId w:val="17"/>
  </w:num>
  <w:num w:numId="12" w16cid:durableId="986277534">
    <w:abstractNumId w:val="3"/>
  </w:num>
  <w:num w:numId="13" w16cid:durableId="327712677">
    <w:abstractNumId w:val="18"/>
  </w:num>
  <w:num w:numId="14" w16cid:durableId="1430734735">
    <w:abstractNumId w:val="21"/>
  </w:num>
  <w:num w:numId="15" w16cid:durableId="221019581">
    <w:abstractNumId w:val="27"/>
  </w:num>
  <w:num w:numId="16" w16cid:durableId="1492676592">
    <w:abstractNumId w:val="23"/>
  </w:num>
  <w:num w:numId="17" w16cid:durableId="1334379035">
    <w:abstractNumId w:val="0"/>
  </w:num>
  <w:num w:numId="18" w16cid:durableId="518390364">
    <w:abstractNumId w:val="13"/>
  </w:num>
  <w:num w:numId="19" w16cid:durableId="1607229755">
    <w:abstractNumId w:val="7"/>
  </w:num>
  <w:num w:numId="20" w16cid:durableId="408385569">
    <w:abstractNumId w:val="29"/>
  </w:num>
  <w:num w:numId="21" w16cid:durableId="1521702328">
    <w:abstractNumId w:val="4"/>
  </w:num>
  <w:num w:numId="22" w16cid:durableId="1184326408">
    <w:abstractNumId w:val="19"/>
  </w:num>
  <w:num w:numId="23" w16cid:durableId="1918662599">
    <w:abstractNumId w:val="25"/>
  </w:num>
  <w:num w:numId="24" w16cid:durableId="770509917">
    <w:abstractNumId w:val="26"/>
  </w:num>
  <w:num w:numId="25" w16cid:durableId="1100486481">
    <w:abstractNumId w:val="10"/>
  </w:num>
  <w:num w:numId="26" w16cid:durableId="622344830">
    <w:abstractNumId w:val="12"/>
  </w:num>
  <w:num w:numId="27" w16cid:durableId="1937252086">
    <w:abstractNumId w:val="24"/>
  </w:num>
  <w:num w:numId="28" w16cid:durableId="240019549">
    <w:abstractNumId w:val="1"/>
  </w:num>
  <w:num w:numId="29" w16cid:durableId="892354497">
    <w:abstractNumId w:val="30"/>
  </w:num>
  <w:num w:numId="30" w16cid:durableId="346756738">
    <w:abstractNumId w:val="9"/>
  </w:num>
  <w:num w:numId="31" w16cid:durableId="601572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2"/>
    <w:compatSetting w:name="useWord2013TrackBottomHyphenation" w:uri="http://schemas.microsoft.com/office/word" w:val="1"/>
  </w:compat>
  <w:rsids>
    <w:rsidRoot w:val="00033FD4"/>
    <w:rsid w:val="00005787"/>
    <w:rsid w:val="000208E9"/>
    <w:rsid w:val="00025DFE"/>
    <w:rsid w:val="00033FD4"/>
    <w:rsid w:val="00043F3E"/>
    <w:rsid w:val="00055072"/>
    <w:rsid w:val="0005595A"/>
    <w:rsid w:val="00056237"/>
    <w:rsid w:val="000754B7"/>
    <w:rsid w:val="000A44AA"/>
    <w:rsid w:val="000A71F3"/>
    <w:rsid w:val="000B0A3D"/>
    <w:rsid w:val="000C0401"/>
    <w:rsid w:val="000C583C"/>
    <w:rsid w:val="000D4804"/>
    <w:rsid w:val="000F3063"/>
    <w:rsid w:val="00106199"/>
    <w:rsid w:val="00110D5C"/>
    <w:rsid w:val="0011787B"/>
    <w:rsid w:val="00117F33"/>
    <w:rsid w:val="00126FF1"/>
    <w:rsid w:val="00127801"/>
    <w:rsid w:val="00137381"/>
    <w:rsid w:val="00140C45"/>
    <w:rsid w:val="00144788"/>
    <w:rsid w:val="00144954"/>
    <w:rsid w:val="001472D8"/>
    <w:rsid w:val="00162074"/>
    <w:rsid w:val="00162A9C"/>
    <w:rsid w:val="00163300"/>
    <w:rsid w:val="001647B8"/>
    <w:rsid w:val="0016716F"/>
    <w:rsid w:val="00173B08"/>
    <w:rsid w:val="00183BB4"/>
    <w:rsid w:val="00184766"/>
    <w:rsid w:val="00192BC1"/>
    <w:rsid w:val="001A2BC3"/>
    <w:rsid w:val="001B16FF"/>
    <w:rsid w:val="001D2F96"/>
    <w:rsid w:val="001D6B1D"/>
    <w:rsid w:val="001E08A6"/>
    <w:rsid w:val="001E200D"/>
    <w:rsid w:val="001F5908"/>
    <w:rsid w:val="00201F46"/>
    <w:rsid w:val="00216E3F"/>
    <w:rsid w:val="00221807"/>
    <w:rsid w:val="00233509"/>
    <w:rsid w:val="00237D57"/>
    <w:rsid w:val="00245493"/>
    <w:rsid w:val="002477BE"/>
    <w:rsid w:val="00266934"/>
    <w:rsid w:val="00267BF5"/>
    <w:rsid w:val="00280F75"/>
    <w:rsid w:val="00297F0E"/>
    <w:rsid w:val="002A30D1"/>
    <w:rsid w:val="002A4EC1"/>
    <w:rsid w:val="002B14E5"/>
    <w:rsid w:val="002B4A7E"/>
    <w:rsid w:val="002C3C8C"/>
    <w:rsid w:val="002E3D63"/>
    <w:rsid w:val="00300E84"/>
    <w:rsid w:val="00315D0A"/>
    <w:rsid w:val="00316F7A"/>
    <w:rsid w:val="00320F66"/>
    <w:rsid w:val="00326BA3"/>
    <w:rsid w:val="003307FC"/>
    <w:rsid w:val="00336651"/>
    <w:rsid w:val="0035137C"/>
    <w:rsid w:val="00352F65"/>
    <w:rsid w:val="003531A1"/>
    <w:rsid w:val="00354F94"/>
    <w:rsid w:val="00373AFF"/>
    <w:rsid w:val="00373CD9"/>
    <w:rsid w:val="0038726B"/>
    <w:rsid w:val="003A4790"/>
    <w:rsid w:val="003A60B6"/>
    <w:rsid w:val="003B01D5"/>
    <w:rsid w:val="003B0D60"/>
    <w:rsid w:val="003B274C"/>
    <w:rsid w:val="003B5F9C"/>
    <w:rsid w:val="003E017E"/>
    <w:rsid w:val="003F692B"/>
    <w:rsid w:val="0040042F"/>
    <w:rsid w:val="00420296"/>
    <w:rsid w:val="004253F7"/>
    <w:rsid w:val="00442C29"/>
    <w:rsid w:val="00443183"/>
    <w:rsid w:val="00443792"/>
    <w:rsid w:val="00455E8C"/>
    <w:rsid w:val="00461192"/>
    <w:rsid w:val="004727CD"/>
    <w:rsid w:val="00475817"/>
    <w:rsid w:val="00480575"/>
    <w:rsid w:val="004855E3"/>
    <w:rsid w:val="00495372"/>
    <w:rsid w:val="00497684"/>
    <w:rsid w:val="004A0A4C"/>
    <w:rsid w:val="004A3985"/>
    <w:rsid w:val="004B3FA6"/>
    <w:rsid w:val="004B60D4"/>
    <w:rsid w:val="004B67AB"/>
    <w:rsid w:val="004D14A4"/>
    <w:rsid w:val="004D7211"/>
    <w:rsid w:val="004E5667"/>
    <w:rsid w:val="004F282E"/>
    <w:rsid w:val="00501294"/>
    <w:rsid w:val="00505AB8"/>
    <w:rsid w:val="005115D5"/>
    <w:rsid w:val="00515DF1"/>
    <w:rsid w:val="00527ACC"/>
    <w:rsid w:val="00533426"/>
    <w:rsid w:val="00540563"/>
    <w:rsid w:val="00550E58"/>
    <w:rsid w:val="00553588"/>
    <w:rsid w:val="005649F1"/>
    <w:rsid w:val="00575A2D"/>
    <w:rsid w:val="0058662C"/>
    <w:rsid w:val="00597BAE"/>
    <w:rsid w:val="005B08B0"/>
    <w:rsid w:val="005C79C7"/>
    <w:rsid w:val="005E236A"/>
    <w:rsid w:val="005E5C8F"/>
    <w:rsid w:val="006071AE"/>
    <w:rsid w:val="0061343B"/>
    <w:rsid w:val="00613DF9"/>
    <w:rsid w:val="00614267"/>
    <w:rsid w:val="006211EB"/>
    <w:rsid w:val="00631F1D"/>
    <w:rsid w:val="00655812"/>
    <w:rsid w:val="00664975"/>
    <w:rsid w:val="00666D4A"/>
    <w:rsid w:val="0068001E"/>
    <w:rsid w:val="006805F2"/>
    <w:rsid w:val="006931E0"/>
    <w:rsid w:val="00694704"/>
    <w:rsid w:val="006975EF"/>
    <w:rsid w:val="006A2CC7"/>
    <w:rsid w:val="006A6B03"/>
    <w:rsid w:val="006A7644"/>
    <w:rsid w:val="006B2D61"/>
    <w:rsid w:val="006C31CC"/>
    <w:rsid w:val="006C45FD"/>
    <w:rsid w:val="006D17B2"/>
    <w:rsid w:val="00701AEC"/>
    <w:rsid w:val="007135AE"/>
    <w:rsid w:val="00726039"/>
    <w:rsid w:val="00730270"/>
    <w:rsid w:val="00734391"/>
    <w:rsid w:val="00740E59"/>
    <w:rsid w:val="00741BFA"/>
    <w:rsid w:val="00760F85"/>
    <w:rsid w:val="00797705"/>
    <w:rsid w:val="007A1EAF"/>
    <w:rsid w:val="007A2A81"/>
    <w:rsid w:val="007A5407"/>
    <w:rsid w:val="007D2197"/>
    <w:rsid w:val="007D4DB7"/>
    <w:rsid w:val="007E05AD"/>
    <w:rsid w:val="007F5847"/>
    <w:rsid w:val="008018BC"/>
    <w:rsid w:val="0081394E"/>
    <w:rsid w:val="0082101B"/>
    <w:rsid w:val="00821107"/>
    <w:rsid w:val="00823140"/>
    <w:rsid w:val="00824C04"/>
    <w:rsid w:val="008258E5"/>
    <w:rsid w:val="0083465E"/>
    <w:rsid w:val="00836532"/>
    <w:rsid w:val="00841893"/>
    <w:rsid w:val="00845EC7"/>
    <w:rsid w:val="00847475"/>
    <w:rsid w:val="008522FB"/>
    <w:rsid w:val="00856F86"/>
    <w:rsid w:val="008668A6"/>
    <w:rsid w:val="00875B84"/>
    <w:rsid w:val="00880E84"/>
    <w:rsid w:val="008816DD"/>
    <w:rsid w:val="00886577"/>
    <w:rsid w:val="00893A74"/>
    <w:rsid w:val="008A1834"/>
    <w:rsid w:val="008A789F"/>
    <w:rsid w:val="008B0E26"/>
    <w:rsid w:val="008B1220"/>
    <w:rsid w:val="008B6590"/>
    <w:rsid w:val="008B7CD7"/>
    <w:rsid w:val="008C459E"/>
    <w:rsid w:val="008D247B"/>
    <w:rsid w:val="008D2BC8"/>
    <w:rsid w:val="008D2D5E"/>
    <w:rsid w:val="008D7706"/>
    <w:rsid w:val="008E5B09"/>
    <w:rsid w:val="00905897"/>
    <w:rsid w:val="00910B37"/>
    <w:rsid w:val="00911118"/>
    <w:rsid w:val="009117DE"/>
    <w:rsid w:val="00932983"/>
    <w:rsid w:val="0093790D"/>
    <w:rsid w:val="009401B9"/>
    <w:rsid w:val="00947A12"/>
    <w:rsid w:val="00956438"/>
    <w:rsid w:val="00965B51"/>
    <w:rsid w:val="00973824"/>
    <w:rsid w:val="00982514"/>
    <w:rsid w:val="00985362"/>
    <w:rsid w:val="009853BB"/>
    <w:rsid w:val="00992253"/>
    <w:rsid w:val="00995B2C"/>
    <w:rsid w:val="009C0E21"/>
    <w:rsid w:val="009D28ED"/>
    <w:rsid w:val="009E15C0"/>
    <w:rsid w:val="009E1AC7"/>
    <w:rsid w:val="009F2E5C"/>
    <w:rsid w:val="009F44F2"/>
    <w:rsid w:val="009F4DB7"/>
    <w:rsid w:val="009F6FE7"/>
    <w:rsid w:val="00A155C4"/>
    <w:rsid w:val="00A21595"/>
    <w:rsid w:val="00A42F9D"/>
    <w:rsid w:val="00A5492B"/>
    <w:rsid w:val="00A56A9A"/>
    <w:rsid w:val="00A6020D"/>
    <w:rsid w:val="00A60BE1"/>
    <w:rsid w:val="00A83D60"/>
    <w:rsid w:val="00A959F3"/>
    <w:rsid w:val="00AD5542"/>
    <w:rsid w:val="00AE5B4F"/>
    <w:rsid w:val="00AE79C4"/>
    <w:rsid w:val="00AF1071"/>
    <w:rsid w:val="00B07B21"/>
    <w:rsid w:val="00B115FE"/>
    <w:rsid w:val="00B21E08"/>
    <w:rsid w:val="00B26805"/>
    <w:rsid w:val="00B3154B"/>
    <w:rsid w:val="00B37EDF"/>
    <w:rsid w:val="00B41856"/>
    <w:rsid w:val="00B41B69"/>
    <w:rsid w:val="00B56370"/>
    <w:rsid w:val="00B65E4B"/>
    <w:rsid w:val="00B66257"/>
    <w:rsid w:val="00B80666"/>
    <w:rsid w:val="00B825AD"/>
    <w:rsid w:val="00B84DE5"/>
    <w:rsid w:val="00B971B1"/>
    <w:rsid w:val="00BA54BB"/>
    <w:rsid w:val="00BA713D"/>
    <w:rsid w:val="00BC5098"/>
    <w:rsid w:val="00BD5488"/>
    <w:rsid w:val="00C07FCD"/>
    <w:rsid w:val="00C11C24"/>
    <w:rsid w:val="00C17962"/>
    <w:rsid w:val="00C46860"/>
    <w:rsid w:val="00C72BDE"/>
    <w:rsid w:val="00C7339B"/>
    <w:rsid w:val="00C83352"/>
    <w:rsid w:val="00C92259"/>
    <w:rsid w:val="00CC7767"/>
    <w:rsid w:val="00CC77B3"/>
    <w:rsid w:val="00CD492A"/>
    <w:rsid w:val="00CD69FE"/>
    <w:rsid w:val="00CE0F5B"/>
    <w:rsid w:val="00CE2436"/>
    <w:rsid w:val="00D16A92"/>
    <w:rsid w:val="00D23EE9"/>
    <w:rsid w:val="00D27B2F"/>
    <w:rsid w:val="00D3518E"/>
    <w:rsid w:val="00D47B7F"/>
    <w:rsid w:val="00D550D6"/>
    <w:rsid w:val="00D67C25"/>
    <w:rsid w:val="00D67CFC"/>
    <w:rsid w:val="00D67FF3"/>
    <w:rsid w:val="00D764DF"/>
    <w:rsid w:val="00D82195"/>
    <w:rsid w:val="00D86B8B"/>
    <w:rsid w:val="00D92B53"/>
    <w:rsid w:val="00D97C7F"/>
    <w:rsid w:val="00DA171C"/>
    <w:rsid w:val="00DA19CF"/>
    <w:rsid w:val="00DA28D1"/>
    <w:rsid w:val="00DC7435"/>
    <w:rsid w:val="00DD1BAB"/>
    <w:rsid w:val="00DD2574"/>
    <w:rsid w:val="00DD2889"/>
    <w:rsid w:val="00DE4904"/>
    <w:rsid w:val="00DE573E"/>
    <w:rsid w:val="00DF7E9C"/>
    <w:rsid w:val="00DF7F31"/>
    <w:rsid w:val="00E1042B"/>
    <w:rsid w:val="00E155E1"/>
    <w:rsid w:val="00E27747"/>
    <w:rsid w:val="00E30216"/>
    <w:rsid w:val="00E423CD"/>
    <w:rsid w:val="00E45B8C"/>
    <w:rsid w:val="00E50467"/>
    <w:rsid w:val="00E55626"/>
    <w:rsid w:val="00E62F92"/>
    <w:rsid w:val="00E84C0F"/>
    <w:rsid w:val="00E84DEE"/>
    <w:rsid w:val="00E86477"/>
    <w:rsid w:val="00E9119B"/>
    <w:rsid w:val="00EA0336"/>
    <w:rsid w:val="00EA3662"/>
    <w:rsid w:val="00EB7500"/>
    <w:rsid w:val="00EB7ED7"/>
    <w:rsid w:val="00EC4270"/>
    <w:rsid w:val="00EE29D6"/>
    <w:rsid w:val="00EE48E1"/>
    <w:rsid w:val="00EF01D6"/>
    <w:rsid w:val="00EF2278"/>
    <w:rsid w:val="00EF7854"/>
    <w:rsid w:val="00F06A9B"/>
    <w:rsid w:val="00F06AE8"/>
    <w:rsid w:val="00F10A6C"/>
    <w:rsid w:val="00F16A74"/>
    <w:rsid w:val="00F22AE8"/>
    <w:rsid w:val="00F2402C"/>
    <w:rsid w:val="00F25663"/>
    <w:rsid w:val="00F531D0"/>
    <w:rsid w:val="00F54412"/>
    <w:rsid w:val="00F82641"/>
    <w:rsid w:val="00F864BD"/>
    <w:rsid w:val="00F905F4"/>
    <w:rsid w:val="00F95BDB"/>
    <w:rsid w:val="00FA5005"/>
    <w:rsid w:val="00FC12F5"/>
    <w:rsid w:val="00FD3DF7"/>
    <w:rsid w:val="00FD619E"/>
    <w:rsid w:val="00FE05E9"/>
    <w:rsid w:val="00FE0CFB"/>
    <w:rsid w:val="00FE53F9"/>
    <w:rsid w:val="00FF48B1"/>
    <w:rsid w:val="2A0D2C4D"/>
    <w:rsid w:val="34FD072D"/>
    <w:rsid w:val="68DB24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0B15B"/>
  <w15:docId w15:val="{EEA0D7E8-7A3E-4588-BBE4-89DC4B92D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5E3"/>
    <w:pPr>
      <w:widowControl/>
      <w:autoSpaceDE/>
      <w:autoSpaceDN/>
    </w:pPr>
    <w:rPr>
      <w:sz w:val="24"/>
      <w:szCs w:val="24"/>
      <w:lang w:val="en-GB"/>
    </w:rPr>
  </w:style>
  <w:style w:type="paragraph" w:styleId="Heading1">
    <w:name w:val="heading 1"/>
    <w:aliases w:val="ICAS | Heading"/>
    <w:basedOn w:val="Normal"/>
    <w:next w:val="Normal"/>
    <w:link w:val="Heading1Char"/>
    <w:uiPriority w:val="9"/>
    <w:qFormat/>
    <w:rsid w:val="004855E3"/>
    <w:pPr>
      <w:spacing w:after="280"/>
      <w:outlineLvl w:val="0"/>
    </w:pPr>
    <w:rPr>
      <w:rFonts w:ascii="Arial" w:hAnsi="Arial" w:cs="Arial"/>
      <w:color w:val="4D46D9" w:themeColor="text2"/>
      <w:sz w:val="40"/>
      <w:szCs w:val="40"/>
    </w:rPr>
  </w:style>
  <w:style w:type="paragraph" w:styleId="Heading2">
    <w:name w:val="heading 2"/>
    <w:aliases w:val="ICAS | Subhead 2"/>
    <w:basedOn w:val="Normal"/>
    <w:next w:val="Normal"/>
    <w:link w:val="Heading2Char"/>
    <w:uiPriority w:val="9"/>
    <w:unhideWhenUsed/>
    <w:qFormat/>
    <w:rsid w:val="001647B8"/>
    <w:pPr>
      <w:spacing w:before="240" w:after="240"/>
      <w:outlineLvl w:val="1"/>
    </w:pPr>
    <w:rPr>
      <w:rFonts w:ascii="Arial" w:hAnsi="Arial" w:cs="Arial"/>
      <w:b/>
      <w:bCs/>
      <w:color w:val="000000"/>
      <w:sz w:val="28"/>
      <w:szCs w:val="28"/>
    </w:rPr>
  </w:style>
  <w:style w:type="paragraph" w:styleId="Heading3">
    <w:name w:val="heading 3"/>
    <w:basedOn w:val="Normal"/>
    <w:next w:val="Normal"/>
    <w:link w:val="Heading3Char"/>
    <w:uiPriority w:val="9"/>
    <w:unhideWhenUsed/>
    <w:qFormat/>
    <w:rsid w:val="001647B8"/>
    <w:pPr>
      <w:keepNext/>
      <w:keepLines/>
      <w:spacing w:after="240"/>
      <w:outlineLvl w:val="2"/>
    </w:pPr>
    <w:rPr>
      <w:rFonts w:ascii="Arial" w:eastAsiaTheme="majorEastAsia" w:hAnsi="Arial" w:cstheme="majorBidi"/>
      <w:color w:val="4D46D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838" w:hanging="361"/>
    </w:pPr>
  </w:style>
  <w:style w:type="paragraph" w:customStyle="1" w:styleId="TableParagraph">
    <w:name w:val="Table Paragraph"/>
    <w:basedOn w:val="Normal"/>
    <w:uiPriority w:val="1"/>
    <w:qFormat/>
  </w:style>
  <w:style w:type="paragraph" w:customStyle="1" w:styleId="ICASWebHeading">
    <w:name w:val="ICAS Web Heading"/>
    <w:basedOn w:val="Normal"/>
    <w:next w:val="Normal"/>
    <w:rsid w:val="00880E84"/>
    <w:pPr>
      <w:shd w:val="clear" w:color="auto" w:fill="D9D9D9"/>
      <w:spacing w:before="100" w:beforeAutospacing="1" w:after="100" w:afterAutospacing="1"/>
    </w:pPr>
    <w:rPr>
      <w:rFonts w:eastAsia="Times New Roman" w:cs="Times New Roman"/>
      <w:b/>
      <w:caps/>
    </w:rPr>
  </w:style>
  <w:style w:type="character" w:styleId="Hyperlink">
    <w:name w:val="Hyperlink"/>
    <w:basedOn w:val="DefaultParagraphFont"/>
    <w:uiPriority w:val="99"/>
    <w:unhideWhenUsed/>
    <w:rsid w:val="00F06A9B"/>
    <w:rPr>
      <w:rFonts w:ascii="Arial" w:hAnsi="Arial"/>
      <w:color w:val="0070C0"/>
      <w:sz w:val="20"/>
      <w:u w:val="single"/>
    </w:rPr>
  </w:style>
  <w:style w:type="character" w:styleId="UnresolvedMention">
    <w:name w:val="Unresolved Mention"/>
    <w:basedOn w:val="DefaultParagraphFont"/>
    <w:uiPriority w:val="99"/>
    <w:semiHidden/>
    <w:unhideWhenUsed/>
    <w:rsid w:val="004855E3"/>
    <w:rPr>
      <w:color w:val="605E5C"/>
      <w:shd w:val="clear" w:color="auto" w:fill="E1DFDD"/>
    </w:rPr>
  </w:style>
  <w:style w:type="character" w:styleId="FollowedHyperlink">
    <w:name w:val="FollowedHyperlink"/>
    <w:basedOn w:val="DefaultParagraphFont"/>
    <w:uiPriority w:val="99"/>
    <w:semiHidden/>
    <w:unhideWhenUsed/>
    <w:rsid w:val="00992253"/>
    <w:rPr>
      <w:color w:val="2B3841" w:themeColor="followedHyperlink"/>
      <w:u w:val="single"/>
    </w:rPr>
  </w:style>
  <w:style w:type="paragraph" w:styleId="Header">
    <w:name w:val="header"/>
    <w:aliases w:val="ICAS | Table Heading"/>
    <w:basedOn w:val="Normal"/>
    <w:link w:val="HeaderChar"/>
    <w:uiPriority w:val="99"/>
    <w:unhideWhenUsed/>
    <w:rsid w:val="004855E3"/>
    <w:rPr>
      <w:rFonts w:ascii="Arial" w:hAnsi="Arial" w:cs="Arial"/>
      <w:b/>
      <w:bCs/>
      <w:color w:val="FFFFFF" w:themeColor="background1"/>
      <w:sz w:val="20"/>
      <w:szCs w:val="20"/>
    </w:rPr>
  </w:style>
  <w:style w:type="character" w:customStyle="1" w:styleId="HeaderChar">
    <w:name w:val="Header Char"/>
    <w:aliases w:val="ICAS | Table Heading Char"/>
    <w:basedOn w:val="DefaultParagraphFont"/>
    <w:link w:val="Header"/>
    <w:uiPriority w:val="99"/>
    <w:rsid w:val="004855E3"/>
    <w:rPr>
      <w:rFonts w:ascii="Arial" w:hAnsi="Arial" w:cs="Arial"/>
      <w:b/>
      <w:bCs/>
      <w:color w:val="FFFFFF" w:themeColor="background1"/>
      <w:sz w:val="20"/>
      <w:szCs w:val="20"/>
      <w:lang w:val="en-GB"/>
    </w:rPr>
  </w:style>
  <w:style w:type="paragraph" w:styleId="Footer">
    <w:name w:val="footer"/>
    <w:basedOn w:val="Normal"/>
    <w:link w:val="FooterChar"/>
    <w:uiPriority w:val="99"/>
    <w:unhideWhenUsed/>
    <w:rsid w:val="004855E3"/>
    <w:pPr>
      <w:tabs>
        <w:tab w:val="center" w:pos="4513"/>
        <w:tab w:val="right" w:pos="9026"/>
      </w:tabs>
    </w:pPr>
  </w:style>
  <w:style w:type="character" w:customStyle="1" w:styleId="FooterChar">
    <w:name w:val="Footer Char"/>
    <w:basedOn w:val="DefaultParagraphFont"/>
    <w:link w:val="Footer"/>
    <w:uiPriority w:val="99"/>
    <w:rsid w:val="004855E3"/>
    <w:rPr>
      <w:sz w:val="24"/>
      <w:szCs w:val="24"/>
      <w:lang w:val="en-GB"/>
    </w:rPr>
  </w:style>
  <w:style w:type="table" w:styleId="TableGrid">
    <w:name w:val="Table Grid"/>
    <w:basedOn w:val="TableNormal"/>
    <w:uiPriority w:val="39"/>
    <w:rsid w:val="004855E3"/>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0A4C"/>
    <w:rPr>
      <w:sz w:val="16"/>
      <w:szCs w:val="16"/>
    </w:rPr>
  </w:style>
  <w:style w:type="paragraph" w:styleId="CommentText">
    <w:name w:val="annotation text"/>
    <w:basedOn w:val="Normal"/>
    <w:link w:val="CommentTextChar"/>
    <w:uiPriority w:val="99"/>
    <w:semiHidden/>
    <w:unhideWhenUsed/>
    <w:rsid w:val="004A0A4C"/>
    <w:rPr>
      <w:sz w:val="20"/>
      <w:szCs w:val="20"/>
    </w:rPr>
  </w:style>
  <w:style w:type="character" w:customStyle="1" w:styleId="CommentTextChar">
    <w:name w:val="Comment Text Char"/>
    <w:basedOn w:val="DefaultParagraphFont"/>
    <w:link w:val="CommentText"/>
    <w:uiPriority w:val="99"/>
    <w:semiHidden/>
    <w:rsid w:val="004A0A4C"/>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A0A4C"/>
    <w:rPr>
      <w:b/>
      <w:bCs/>
    </w:rPr>
  </w:style>
  <w:style w:type="character" w:customStyle="1" w:styleId="CommentSubjectChar">
    <w:name w:val="Comment Subject Char"/>
    <w:basedOn w:val="CommentTextChar"/>
    <w:link w:val="CommentSubject"/>
    <w:uiPriority w:val="99"/>
    <w:semiHidden/>
    <w:rsid w:val="004A0A4C"/>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4A0A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A4C"/>
    <w:rPr>
      <w:rFonts w:ascii="Segoe UI" w:eastAsia="Arial" w:hAnsi="Segoe UI" w:cs="Segoe UI"/>
      <w:sz w:val="18"/>
      <w:szCs w:val="18"/>
      <w:lang w:bidi="en-US"/>
    </w:rPr>
  </w:style>
  <w:style w:type="character" w:customStyle="1" w:styleId="apple-converted-space">
    <w:name w:val="apple-converted-space"/>
    <w:basedOn w:val="DefaultParagraphFont"/>
    <w:rsid w:val="004855E3"/>
  </w:style>
  <w:style w:type="numbering" w:customStyle="1" w:styleId="CurrentList1">
    <w:name w:val="Current List1"/>
    <w:uiPriority w:val="99"/>
    <w:rsid w:val="004855E3"/>
    <w:pPr>
      <w:numPr>
        <w:numId w:val="20"/>
      </w:numPr>
    </w:pPr>
  </w:style>
  <w:style w:type="character" w:customStyle="1" w:styleId="Heading1Char">
    <w:name w:val="Heading 1 Char"/>
    <w:aliases w:val="ICAS | Heading Char"/>
    <w:basedOn w:val="DefaultParagraphFont"/>
    <w:link w:val="Heading1"/>
    <w:uiPriority w:val="9"/>
    <w:rsid w:val="004855E3"/>
    <w:rPr>
      <w:rFonts w:ascii="Arial" w:hAnsi="Arial" w:cs="Arial"/>
      <w:color w:val="4D46D9" w:themeColor="text2"/>
      <w:sz w:val="40"/>
      <w:szCs w:val="40"/>
      <w:lang w:val="en-GB"/>
    </w:rPr>
  </w:style>
  <w:style w:type="character" w:customStyle="1" w:styleId="Heading2Char">
    <w:name w:val="Heading 2 Char"/>
    <w:aliases w:val="ICAS | Subhead 2 Char"/>
    <w:basedOn w:val="DefaultParagraphFont"/>
    <w:link w:val="Heading2"/>
    <w:uiPriority w:val="9"/>
    <w:rsid w:val="001647B8"/>
    <w:rPr>
      <w:rFonts w:ascii="Arial" w:hAnsi="Arial" w:cs="Arial"/>
      <w:b/>
      <w:bCs/>
      <w:color w:val="000000"/>
      <w:sz w:val="28"/>
      <w:szCs w:val="28"/>
      <w:lang w:val="en-GB"/>
    </w:rPr>
  </w:style>
  <w:style w:type="character" w:customStyle="1" w:styleId="Heading3Char">
    <w:name w:val="Heading 3 Char"/>
    <w:basedOn w:val="DefaultParagraphFont"/>
    <w:link w:val="Heading3"/>
    <w:uiPriority w:val="9"/>
    <w:rsid w:val="001647B8"/>
    <w:rPr>
      <w:rFonts w:ascii="Arial" w:eastAsiaTheme="majorEastAsia" w:hAnsi="Arial" w:cstheme="majorBidi"/>
      <w:color w:val="4D46D9" w:themeColor="text2"/>
      <w:sz w:val="24"/>
      <w:szCs w:val="24"/>
      <w:lang w:val="en-GB"/>
    </w:rPr>
  </w:style>
  <w:style w:type="paragraph" w:styleId="NoSpacing">
    <w:name w:val="No Spacing"/>
    <w:aliases w:val="ICAS | Body Copy"/>
    <w:basedOn w:val="Normal"/>
    <w:link w:val="NoSpacingChar"/>
    <w:uiPriority w:val="1"/>
    <w:qFormat/>
    <w:rsid w:val="004855E3"/>
    <w:rPr>
      <w:rFonts w:ascii="Arial" w:hAnsi="Arial" w:cs="Arial"/>
      <w:color w:val="000000"/>
      <w:sz w:val="20"/>
      <w:szCs w:val="20"/>
    </w:rPr>
  </w:style>
  <w:style w:type="character" w:customStyle="1" w:styleId="NoSpacingChar">
    <w:name w:val="No Spacing Char"/>
    <w:aliases w:val="ICAS | Body Copy Char"/>
    <w:basedOn w:val="DefaultParagraphFont"/>
    <w:link w:val="NoSpacing"/>
    <w:uiPriority w:val="1"/>
    <w:rsid w:val="004855E3"/>
    <w:rPr>
      <w:rFonts w:ascii="Arial" w:hAnsi="Arial" w:cs="Arial"/>
      <w:color w:val="000000"/>
      <w:sz w:val="20"/>
      <w:szCs w:val="20"/>
      <w:lang w:val="en-GB"/>
    </w:rPr>
  </w:style>
  <w:style w:type="paragraph" w:customStyle="1" w:styleId="ICASBody">
    <w:name w:val="ICAS | Body"/>
    <w:basedOn w:val="NoSpacing"/>
    <w:qFormat/>
    <w:rsid w:val="004855E3"/>
    <w:pPr>
      <w:spacing w:after="240"/>
    </w:pPr>
  </w:style>
  <w:style w:type="paragraph" w:customStyle="1" w:styleId="ICASBoxOutBody">
    <w:name w:val="ICAS | Box Out Body"/>
    <w:basedOn w:val="Normal"/>
    <w:qFormat/>
    <w:rsid w:val="004855E3"/>
    <w:rPr>
      <w:rFonts w:ascii="Arial" w:hAnsi="Arial"/>
      <w:color w:val="2B3841" w:themeColor="text1"/>
      <w:sz w:val="20"/>
      <w:szCs w:val="20"/>
    </w:rPr>
  </w:style>
  <w:style w:type="paragraph" w:customStyle="1" w:styleId="ICASBoxOutHeading">
    <w:name w:val="ICAS | Box Out Heading"/>
    <w:basedOn w:val="Normal"/>
    <w:qFormat/>
    <w:rsid w:val="004855E3"/>
    <w:rPr>
      <w:rFonts w:ascii="Arial" w:hAnsi="Arial"/>
      <w:b/>
      <w:bCs/>
      <w:color w:val="2B3841" w:themeColor="text1"/>
      <w:sz w:val="20"/>
      <w:szCs w:val="20"/>
    </w:rPr>
  </w:style>
  <w:style w:type="paragraph" w:customStyle="1" w:styleId="ICASBulletssecondlevel">
    <w:name w:val="ICAS | Bullets – second level"/>
    <w:basedOn w:val="Normal"/>
    <w:qFormat/>
    <w:rsid w:val="004855E3"/>
    <w:pPr>
      <w:numPr>
        <w:numId w:val="21"/>
      </w:numPr>
      <w:spacing w:after="86" w:line="276" w:lineRule="auto"/>
      <w:contextualSpacing/>
    </w:pPr>
    <w:rPr>
      <w:rFonts w:ascii="Arial" w:hAnsi="Arial" w:cs="Arial"/>
      <w:color w:val="000000"/>
      <w:sz w:val="20"/>
      <w:szCs w:val="20"/>
      <w:lang w:eastAsia="en-GB"/>
    </w:rPr>
  </w:style>
  <w:style w:type="paragraph" w:customStyle="1" w:styleId="ICASCoverHeadingWhite">
    <w:name w:val="ICAS | Cover Heading – White"/>
    <w:basedOn w:val="Normal"/>
    <w:qFormat/>
    <w:rsid w:val="004855E3"/>
    <w:pPr>
      <w:snapToGrid w:val="0"/>
    </w:pPr>
    <w:rPr>
      <w:rFonts w:ascii="Arial" w:hAnsi="Arial" w:cs="Arial"/>
      <w:b/>
      <w:bCs/>
      <w:color w:val="FFFFFF" w:themeColor="background1"/>
      <w:sz w:val="124"/>
      <w:szCs w:val="124"/>
    </w:rPr>
  </w:style>
  <w:style w:type="paragraph" w:customStyle="1" w:styleId="ICASDateBlack">
    <w:name w:val="ICAS | Date – Black"/>
    <w:basedOn w:val="Normal"/>
    <w:qFormat/>
    <w:rsid w:val="004855E3"/>
    <w:pPr>
      <w:spacing w:line="276" w:lineRule="auto"/>
    </w:pPr>
    <w:rPr>
      <w:sz w:val="28"/>
      <w:szCs w:val="28"/>
    </w:rPr>
  </w:style>
  <w:style w:type="paragraph" w:customStyle="1" w:styleId="ICASDateWhite">
    <w:name w:val="ICAS | Date – White"/>
    <w:basedOn w:val="Normal"/>
    <w:qFormat/>
    <w:rsid w:val="004855E3"/>
    <w:pPr>
      <w:spacing w:line="276" w:lineRule="auto"/>
    </w:pPr>
    <w:rPr>
      <w:color w:val="FFFFFF" w:themeColor="background1"/>
      <w:sz w:val="28"/>
      <w:szCs w:val="28"/>
    </w:rPr>
  </w:style>
  <w:style w:type="paragraph" w:customStyle="1" w:styleId="ICASQuote">
    <w:name w:val="ICAS | Quote"/>
    <w:basedOn w:val="Normal"/>
    <w:qFormat/>
    <w:rsid w:val="004855E3"/>
    <w:pPr>
      <w:spacing w:before="128" w:after="255" w:line="276" w:lineRule="auto"/>
      <w:ind w:left="128"/>
    </w:pPr>
    <w:rPr>
      <w:rFonts w:ascii="Arial" w:hAnsi="Arial" w:cs="Arial"/>
      <w:i/>
      <w:iCs/>
      <w:color w:val="2B3841" w:themeColor="text1"/>
      <w:sz w:val="20"/>
      <w:szCs w:val="20"/>
      <w:lang w:eastAsia="en-GB"/>
    </w:rPr>
  </w:style>
  <w:style w:type="paragraph" w:customStyle="1" w:styleId="ICASTableContent">
    <w:name w:val="ICAS | Table Content"/>
    <w:basedOn w:val="Normal"/>
    <w:qFormat/>
    <w:rsid w:val="004855E3"/>
    <w:rPr>
      <w:rFonts w:ascii="Arial" w:hAnsi="Arial" w:cs="Arial"/>
      <w:sz w:val="20"/>
      <w:szCs w:val="20"/>
    </w:rPr>
  </w:style>
  <w:style w:type="table" w:customStyle="1" w:styleId="ICASTableHeading">
    <w:name w:val="ICAS | Table Heading"/>
    <w:basedOn w:val="TableNormal"/>
    <w:uiPriority w:val="99"/>
    <w:rsid w:val="004855E3"/>
    <w:pPr>
      <w:widowControl/>
      <w:autoSpaceDE/>
      <w:autoSpaceDN/>
    </w:pPr>
    <w:rPr>
      <w:sz w:val="24"/>
      <w:szCs w:val="24"/>
      <w:lang w:val="en-GB"/>
    </w:rPr>
    <w:tblPr/>
  </w:style>
  <w:style w:type="paragraph" w:customStyle="1" w:styleId="ICASCoverHeadingBlack">
    <w:name w:val="ICAS | Cover Heading – Black"/>
    <w:basedOn w:val="Normal"/>
    <w:qFormat/>
    <w:rsid w:val="004855E3"/>
    <w:pPr>
      <w:snapToGrid w:val="0"/>
    </w:pPr>
    <w:rPr>
      <w:rFonts w:ascii="Arial" w:hAnsi="Arial" w:cs="Arial"/>
      <w:b/>
      <w:bCs/>
      <w:sz w:val="124"/>
      <w:szCs w:val="124"/>
    </w:rPr>
  </w:style>
  <w:style w:type="paragraph" w:customStyle="1" w:styleId="ICASPageNumber">
    <w:name w:val="ICAS | Page Number"/>
    <w:basedOn w:val="Footer"/>
    <w:qFormat/>
    <w:rsid w:val="004855E3"/>
    <w:pPr>
      <w:framePr w:wrap="none" w:vAnchor="text" w:hAnchor="margin" w:xAlign="right" w:y="1"/>
    </w:pPr>
    <w:rPr>
      <w:color w:val="000000"/>
      <w:sz w:val="20"/>
      <w:szCs w:val="20"/>
    </w:rPr>
  </w:style>
  <w:style w:type="paragraph" w:customStyle="1" w:styleId="ICASSubhead1">
    <w:name w:val="ICAS | Subhead 1"/>
    <w:basedOn w:val="Heading2"/>
    <w:qFormat/>
    <w:rsid w:val="004855E3"/>
    <w:pPr>
      <w:spacing w:after="280"/>
    </w:pPr>
  </w:style>
  <w:style w:type="character" w:styleId="PageNumber">
    <w:name w:val="page number"/>
    <w:basedOn w:val="DefaultParagraphFont"/>
    <w:uiPriority w:val="99"/>
    <w:semiHidden/>
    <w:unhideWhenUsed/>
    <w:rsid w:val="004855E3"/>
  </w:style>
  <w:style w:type="paragraph" w:styleId="Title">
    <w:name w:val="Title"/>
    <w:aliases w:val="ICAS | Bullets – first level"/>
    <w:basedOn w:val="Normal"/>
    <w:next w:val="Normal"/>
    <w:link w:val="TitleChar"/>
    <w:uiPriority w:val="10"/>
    <w:qFormat/>
    <w:rsid w:val="004855E3"/>
    <w:pPr>
      <w:numPr>
        <w:numId w:val="22"/>
      </w:numPr>
      <w:contextualSpacing/>
    </w:pPr>
    <w:rPr>
      <w:rFonts w:ascii="Arial" w:hAnsi="Arial" w:cs="Arial"/>
      <w:sz w:val="20"/>
      <w:szCs w:val="20"/>
    </w:rPr>
  </w:style>
  <w:style w:type="character" w:customStyle="1" w:styleId="TitleChar">
    <w:name w:val="Title Char"/>
    <w:aliases w:val="ICAS | Bullets – first level Char"/>
    <w:basedOn w:val="DefaultParagraphFont"/>
    <w:link w:val="Title"/>
    <w:uiPriority w:val="10"/>
    <w:rsid w:val="004855E3"/>
    <w:rPr>
      <w:rFonts w:ascii="Arial" w:hAnsi="Arial" w:cs="Arial"/>
      <w:sz w:val="20"/>
      <w:szCs w:val="20"/>
      <w:lang w:val="en-GB"/>
    </w:rPr>
  </w:style>
  <w:style w:type="character" w:styleId="IntenseEmphasis">
    <w:name w:val="Intense Emphasis"/>
    <w:basedOn w:val="DefaultParagraphFont"/>
    <w:uiPriority w:val="21"/>
    <w:qFormat/>
    <w:rsid w:val="00DA28D1"/>
    <w:rPr>
      <w:rFonts w:ascii="Arial" w:hAnsi="Arial"/>
      <w:i/>
      <w:iCs/>
      <w:color w:val="8393A8" w:themeColor="accen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2002/29/cont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cab.org.uk/anti-money-laundering-and-counter-terrorist-financing-guidance-for-the-accountancy-sector-202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ab.org.uk/anti-money-laundering-and-counter-terrorist-financing-guidance-for-the-accountancy-sector-2023/"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legislation.gov.uk/ukpga/2002/29/cont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cas.com/contact-us/icas-technical-helpde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CAS">
  <a:themeElements>
    <a:clrScheme name="ICAS">
      <a:dk1>
        <a:srgbClr val="2B3841"/>
      </a:dk1>
      <a:lt1>
        <a:srgbClr val="FFFFFF"/>
      </a:lt1>
      <a:dk2>
        <a:srgbClr val="4D46D9"/>
      </a:dk2>
      <a:lt2>
        <a:srgbClr val="FFFFFF"/>
      </a:lt2>
      <a:accent1>
        <a:srgbClr val="8393A8"/>
      </a:accent1>
      <a:accent2>
        <a:srgbClr val="22B9D5"/>
      </a:accent2>
      <a:accent3>
        <a:srgbClr val="F88D2A"/>
      </a:accent3>
      <a:accent4>
        <a:srgbClr val="555C64"/>
      </a:accent4>
      <a:accent5>
        <a:srgbClr val="4D46D9"/>
      </a:accent5>
      <a:accent6>
        <a:srgbClr val="4D46D9"/>
      </a:accent6>
      <a:hlink>
        <a:srgbClr val="2B3841"/>
      </a:hlink>
      <a:folHlink>
        <a:srgbClr val="2B3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S_Master" id="{452D8136-E7D2-9E4E-AB4E-031F0DB37ADC}" vid="{35AAC066-4BC9-2948-A53F-DA8E50D9B3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8CB58330DE6489439988E1A6A5EBB" ma:contentTypeVersion="18" ma:contentTypeDescription="Create a new document." ma:contentTypeScope="" ma:versionID="ade4d830e73fc0ed3a69f1cd0e36ac68">
  <xsd:schema xmlns:xsd="http://www.w3.org/2001/XMLSchema" xmlns:xs="http://www.w3.org/2001/XMLSchema" xmlns:p="http://schemas.microsoft.com/office/2006/metadata/properties" xmlns:ns2="607b35c9-358c-4a12-8b61-a6ae96df6ef5" xmlns:ns3="52d05684-39aa-4c0d-8cff-5e0cc80d847a" targetNamespace="http://schemas.microsoft.com/office/2006/metadata/properties" ma:root="true" ma:fieldsID="0e8af8a3c7fbb037519acd8f55bc4552" ns2:_="" ns3:_="">
    <xsd:import namespace="607b35c9-358c-4a12-8b61-a6ae96df6ef5"/>
    <xsd:import namespace="52d05684-39aa-4c0d-8cff-5e0cc80d8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35c9-358c-4a12-8b61-a6ae96df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26e4d1-0851-40eb-a194-209cd149f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05684-39aa-4c0d-8cff-5e0cc80d8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f13671-d92f-47df-bb15-d71d68a1a928}" ma:internalName="TaxCatchAll" ma:showField="CatchAllData" ma:web="52d05684-39aa-4c0d-8cff-5e0cc80d8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2d05684-39aa-4c0d-8cff-5e0cc80d847a">
      <UserInfo>
        <DisplayName>Kenneth Oliver</DisplayName>
        <AccountId>51</AccountId>
        <AccountType/>
      </UserInfo>
      <UserInfo>
        <DisplayName>Kate Neilson</DisplayName>
        <AccountId>45</AccountId>
        <AccountType/>
      </UserInfo>
      <UserInfo>
        <DisplayName>Jeremy Clarke</DisplayName>
        <AccountId>16</AccountId>
        <AccountType/>
      </UserInfo>
      <UserInfo>
        <DisplayName>Alasdair Millar</DisplayName>
        <AccountId>22</AccountId>
        <AccountType/>
      </UserInfo>
      <UserInfo>
        <DisplayName>David Menzies</DisplayName>
        <AccountId>9</AccountId>
        <AccountType/>
      </UserInfo>
    </SharedWithUsers>
    <lcf76f155ced4ddcb4097134ff3c332f xmlns="607b35c9-358c-4a12-8b61-a6ae96df6ef5">
      <Terms xmlns="http://schemas.microsoft.com/office/infopath/2007/PartnerControls"/>
    </lcf76f155ced4ddcb4097134ff3c332f>
    <TaxCatchAll xmlns="52d05684-39aa-4c0d-8cff-5e0cc80d84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076918-2768-4328-9B14-38024BC69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b35c9-358c-4a12-8b61-a6ae96df6ef5"/>
    <ds:schemaRef ds:uri="52d05684-39aa-4c0d-8cff-5e0cc80d8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C9AA8D-D5B8-403F-AE54-FB405F1E3150}">
  <ds:schemaRefs>
    <ds:schemaRef ds:uri="http://schemas.microsoft.com/office/2006/metadata/properties"/>
    <ds:schemaRef ds:uri="http://schemas.microsoft.com/office/infopath/2007/PartnerControls"/>
    <ds:schemaRef ds:uri="52d05684-39aa-4c0d-8cff-5e0cc80d847a"/>
    <ds:schemaRef ds:uri="607b35c9-358c-4a12-8b61-a6ae96df6ef5"/>
  </ds:schemaRefs>
</ds:datastoreItem>
</file>

<file path=customXml/itemProps3.xml><?xml version="1.0" encoding="utf-8"?>
<ds:datastoreItem xmlns:ds="http://schemas.openxmlformats.org/officeDocument/2006/customXml" ds:itemID="{A9153BDE-3A59-4CFD-8DF1-5A400FC34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1182</Words>
  <Characters>6743</Characters>
  <Application>Microsoft Office Word</Application>
  <DocSecurity>4</DocSecurity>
  <Lines>56</Lines>
  <Paragraphs>15</Paragraphs>
  <ScaleCrop>false</ScaleCrop>
  <Company/>
  <LinksUpToDate>false</LinksUpToDate>
  <CharactersWithSpaces>7910</CharactersWithSpaces>
  <SharedDoc>false</SharedDoc>
  <HLinks>
    <vt:vector size="30" baseType="variant">
      <vt:variant>
        <vt:i4>6357117</vt:i4>
      </vt:variant>
      <vt:variant>
        <vt:i4>12</vt:i4>
      </vt:variant>
      <vt:variant>
        <vt:i4>0</vt:i4>
      </vt:variant>
      <vt:variant>
        <vt:i4>5</vt:i4>
      </vt:variant>
      <vt:variant>
        <vt:lpwstr>https://www.icas.com/contact-us/icas-technical-helpdesk</vt:lpwstr>
      </vt:variant>
      <vt:variant>
        <vt:lpwstr/>
      </vt:variant>
      <vt:variant>
        <vt:i4>5963868</vt:i4>
      </vt:variant>
      <vt:variant>
        <vt:i4>9</vt:i4>
      </vt:variant>
      <vt:variant>
        <vt:i4>0</vt:i4>
      </vt:variant>
      <vt:variant>
        <vt:i4>5</vt:i4>
      </vt:variant>
      <vt:variant>
        <vt:lpwstr>https://www.legislation.gov.uk/ukpga/2002/29/contents</vt:lpwstr>
      </vt:variant>
      <vt:variant>
        <vt:lpwstr/>
      </vt:variant>
      <vt:variant>
        <vt:i4>6881313</vt:i4>
      </vt:variant>
      <vt:variant>
        <vt:i4>6</vt:i4>
      </vt:variant>
      <vt:variant>
        <vt:i4>0</vt:i4>
      </vt:variant>
      <vt:variant>
        <vt:i4>5</vt:i4>
      </vt:variant>
      <vt:variant>
        <vt:lpwstr>https://www.ccab.org.uk/anti-money-laundering-and-counter-terrorist-financing-guidance-for-the-accountancy-sector-2023/</vt:lpwstr>
      </vt:variant>
      <vt:variant>
        <vt:lpwstr/>
      </vt:variant>
      <vt:variant>
        <vt:i4>6881313</vt:i4>
      </vt:variant>
      <vt:variant>
        <vt:i4>3</vt:i4>
      </vt:variant>
      <vt:variant>
        <vt:i4>0</vt:i4>
      </vt:variant>
      <vt:variant>
        <vt:i4>5</vt:i4>
      </vt:variant>
      <vt:variant>
        <vt:lpwstr>https://www.ccab.org.uk/anti-money-laundering-and-counter-terrorist-financing-guidance-for-the-accountancy-sector-2023/</vt:lpwstr>
      </vt:variant>
      <vt:variant>
        <vt:lpwstr/>
      </vt:variant>
      <vt:variant>
        <vt:i4>5963868</vt:i4>
      </vt:variant>
      <vt:variant>
        <vt:i4>0</vt:i4>
      </vt:variant>
      <vt:variant>
        <vt:i4>0</vt:i4>
      </vt:variant>
      <vt:variant>
        <vt:i4>5</vt:i4>
      </vt:variant>
      <vt:variant>
        <vt:lpwstr>https://www.legislation.gov.uk/ukpga/2002/29/contents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Byrne</dc:creator>
  <cp:keywords/>
  <cp:lastModifiedBy>Kate Neilson</cp:lastModifiedBy>
  <cp:revision>28</cp:revision>
  <dcterms:created xsi:type="dcterms:W3CDTF">2023-08-31T22:11:00Z</dcterms:created>
  <dcterms:modified xsi:type="dcterms:W3CDTF">2024-07-10T22:15:00Z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for Office 365</vt:lpwstr>
  </property>
  <property fmtid="{D5CDD505-2E9C-101B-9397-08002B2CF9AE}" pid="4" name="LastSaved">
    <vt:filetime>2020-08-05T00:00:00Z</vt:filetime>
  </property>
  <property fmtid="{D5CDD505-2E9C-101B-9397-08002B2CF9AE}" pid="5" name="ContentTypeId">
    <vt:lpwstr>0x010100B358CB58330DE6489439988E1A6A5EBB</vt:lpwstr>
  </property>
  <property fmtid="{D5CDD505-2E9C-101B-9397-08002B2CF9AE}" pid="6" name="MediaServiceImageTags">
    <vt:lpwstr/>
  </property>
</Properties>
</file>