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FE98B" w14:textId="4FC29403" w:rsidR="00497684" w:rsidRPr="00992253" w:rsidRDefault="007D4DB7" w:rsidP="007528AA">
      <w:pPr>
        <w:pStyle w:val="Heading1"/>
      </w:pPr>
      <w:r>
        <w:t>Helpsheet</w:t>
      </w:r>
      <w:r w:rsidR="00E86477">
        <w:t xml:space="preserve">: </w:t>
      </w:r>
      <w:r w:rsidR="008B0BE9">
        <w:t>Anti money laundering customer due diligence</w:t>
      </w:r>
    </w:p>
    <w:p w14:paraId="03855EB1" w14:textId="131711E2" w:rsidR="00497684" w:rsidRPr="007528AA" w:rsidRDefault="00497684" w:rsidP="007528AA">
      <w:pPr>
        <w:pStyle w:val="ICASBoxOutBody"/>
      </w:pPr>
      <w:r w:rsidRPr="007528AA">
        <w:rPr>
          <w:b/>
          <w:bCs/>
        </w:rPr>
        <w:t>Issued</w:t>
      </w:r>
      <w:r w:rsidR="00DD2889" w:rsidRPr="007528AA">
        <w:rPr>
          <w:b/>
          <w:bCs/>
        </w:rPr>
        <w:t>:</w:t>
      </w:r>
      <w:r w:rsidRPr="007528AA">
        <w:t xml:space="preserve"> </w:t>
      </w:r>
      <w:r w:rsidR="008B0BE9">
        <w:t>January 2020</w:t>
      </w:r>
    </w:p>
    <w:p w14:paraId="57865399" w14:textId="012D77B5" w:rsidR="003F692B" w:rsidRPr="007528AA" w:rsidRDefault="003F692B" w:rsidP="007528AA">
      <w:pPr>
        <w:pStyle w:val="ICASBoxOutBody"/>
      </w:pPr>
      <w:r w:rsidRPr="007528AA">
        <w:rPr>
          <w:b/>
          <w:bCs/>
        </w:rPr>
        <w:t>Last issued</w:t>
      </w:r>
      <w:r w:rsidR="00DD2889" w:rsidRPr="007528AA">
        <w:rPr>
          <w:b/>
          <w:bCs/>
        </w:rPr>
        <w:t>:</w:t>
      </w:r>
      <w:r w:rsidRPr="007528AA">
        <w:t xml:space="preserve"> </w:t>
      </w:r>
      <w:r w:rsidR="008B0BE9">
        <w:t>July 2024</w:t>
      </w:r>
    </w:p>
    <w:p w14:paraId="2827816E" w14:textId="29077EFA" w:rsidR="00497684" w:rsidRPr="007528AA" w:rsidRDefault="00497684" w:rsidP="007528AA">
      <w:pPr>
        <w:pStyle w:val="ICASBoxOutBody"/>
      </w:pPr>
      <w:r w:rsidRPr="007528AA">
        <w:rPr>
          <w:b/>
          <w:bCs/>
        </w:rPr>
        <w:t>Last reviewed</w:t>
      </w:r>
      <w:r w:rsidR="00DD2889" w:rsidRPr="007528AA">
        <w:rPr>
          <w:b/>
          <w:bCs/>
        </w:rPr>
        <w:t>:</w:t>
      </w:r>
      <w:r w:rsidRPr="007528AA">
        <w:t xml:space="preserve"> </w:t>
      </w:r>
      <w:r w:rsidR="008B0BE9">
        <w:t>July 2024</w:t>
      </w:r>
    </w:p>
    <w:p w14:paraId="445A3A18" w14:textId="77777777" w:rsidR="00B546B3" w:rsidRDefault="00B546B3" w:rsidP="00DD2889">
      <w:pPr>
        <w:pStyle w:val="Heading2"/>
        <w:spacing w:before="120" w:after="120"/>
      </w:pPr>
    </w:p>
    <w:p w14:paraId="5F53CE8A" w14:textId="49C276F4" w:rsidR="00033FD4" w:rsidRDefault="003F692B" w:rsidP="00DD2889">
      <w:pPr>
        <w:pStyle w:val="Heading2"/>
        <w:spacing w:before="120" w:after="120"/>
        <w:rPr>
          <w:b w:val="0"/>
          <w:bCs w:val="0"/>
        </w:rPr>
      </w:pPr>
      <w:r w:rsidRPr="00992253">
        <w:t>Introduction</w:t>
      </w:r>
    </w:p>
    <w:p w14:paraId="118D6E52" w14:textId="77777777" w:rsidR="00211A1E" w:rsidRDefault="00211A1E" w:rsidP="00211A1E">
      <w:pPr>
        <w:pStyle w:val="ICASBody"/>
      </w:pPr>
      <w:r>
        <w:t>There are three different levels of Customer Due Diligence (CDD) procedures to be applied depending upon the overall risk of the client the firm is acting for (or proposing to).</w:t>
      </w:r>
    </w:p>
    <w:p w14:paraId="79CDEFE4" w14:textId="02E9BFED" w:rsidR="00211A1E" w:rsidRDefault="00211A1E" w:rsidP="00211A1E">
      <w:pPr>
        <w:pStyle w:val="ICASBody"/>
        <w:numPr>
          <w:ilvl w:val="0"/>
          <w:numId w:val="21"/>
        </w:numPr>
      </w:pPr>
      <w:r>
        <w:t>Simplified due diligence</w:t>
      </w:r>
    </w:p>
    <w:p w14:paraId="6C78EF31" w14:textId="77777777" w:rsidR="00211A1E" w:rsidRDefault="00211A1E" w:rsidP="00211A1E">
      <w:pPr>
        <w:pStyle w:val="ICASBody"/>
      </w:pPr>
      <w:r>
        <w:t>Simplified due diligence is applied to clients where their existence can be readily verified, and the work being undertaken is not considered to be high risk. Typically, this would be where a firm is performing work for local or central government, or publicly listed companies.</w:t>
      </w:r>
    </w:p>
    <w:p w14:paraId="767D2442" w14:textId="77777777" w:rsidR="00211A1E" w:rsidRDefault="00211A1E" w:rsidP="00211A1E">
      <w:pPr>
        <w:pStyle w:val="ICASBody"/>
      </w:pPr>
      <w:r>
        <w:t>For most firms, the use of simplified due diligence would be unusual.</w:t>
      </w:r>
    </w:p>
    <w:p w14:paraId="39E4E2C0" w14:textId="10A8BC6F" w:rsidR="00211A1E" w:rsidRDefault="00211A1E" w:rsidP="00211A1E">
      <w:pPr>
        <w:pStyle w:val="ICASBody"/>
        <w:numPr>
          <w:ilvl w:val="0"/>
          <w:numId w:val="21"/>
        </w:numPr>
      </w:pPr>
      <w:r>
        <w:t>Normal due diligence</w:t>
      </w:r>
    </w:p>
    <w:p w14:paraId="1CDBB373" w14:textId="77777777" w:rsidR="00211A1E" w:rsidRDefault="00211A1E" w:rsidP="00211A1E">
      <w:pPr>
        <w:pStyle w:val="ICASBody"/>
      </w:pPr>
      <w:r>
        <w:t xml:space="preserve">The majority of clients will fall within normal due diligence procedures. Most practitioners will be familiar with this approach and be aware of the routines involved in carrying out normal due diligence (which is outlined below). </w:t>
      </w:r>
    </w:p>
    <w:p w14:paraId="337FF222" w14:textId="0681289E" w:rsidR="00211A1E" w:rsidRDefault="00211A1E" w:rsidP="00211A1E">
      <w:pPr>
        <w:pStyle w:val="ICASBody"/>
        <w:numPr>
          <w:ilvl w:val="0"/>
          <w:numId w:val="21"/>
        </w:numPr>
      </w:pPr>
      <w:r>
        <w:t>Enhanced due diligence</w:t>
      </w:r>
    </w:p>
    <w:p w14:paraId="25A9F30A" w14:textId="4E78D466" w:rsidR="008C07FE" w:rsidRDefault="00211A1E" w:rsidP="00211A1E">
      <w:pPr>
        <w:pStyle w:val="ICASBody"/>
      </w:pPr>
      <w:r>
        <w:t>Firms should apply enhanced due diligence in circumstances where they view the client to be of a higher risk. This may be because the client is a Politically Exposed Person (PEP), or perhaps has not been met face to face. Additional client identity verification measures would be expected in such cases.</w:t>
      </w:r>
    </w:p>
    <w:p w14:paraId="751A4412" w14:textId="78498B5F" w:rsidR="00211A1E" w:rsidRDefault="00A5653A" w:rsidP="00A5653A">
      <w:pPr>
        <w:pStyle w:val="Heading2"/>
      </w:pPr>
      <w:r>
        <w:t>Customer due diligence</w:t>
      </w:r>
    </w:p>
    <w:p w14:paraId="64A751B2" w14:textId="77777777" w:rsidR="00953667" w:rsidRDefault="00953667" w:rsidP="00953667">
      <w:pPr>
        <w:pStyle w:val="ICASBody"/>
      </w:pPr>
      <w:r>
        <w:t>There are three distinct elements to recording Customer Due Diligence (CDD):</w:t>
      </w:r>
    </w:p>
    <w:p w14:paraId="01F5F4DB" w14:textId="6E339539" w:rsidR="00953667" w:rsidRDefault="00953667" w:rsidP="00953667">
      <w:pPr>
        <w:pStyle w:val="Title"/>
      </w:pPr>
      <w:r>
        <w:t>Client identity verification</w:t>
      </w:r>
    </w:p>
    <w:p w14:paraId="53BF2B35" w14:textId="4BF0A158" w:rsidR="00953667" w:rsidRDefault="00953667" w:rsidP="00953667">
      <w:pPr>
        <w:pStyle w:val="Title"/>
      </w:pPr>
      <w:r>
        <w:t>Recording of background knowledge of client</w:t>
      </w:r>
    </w:p>
    <w:p w14:paraId="52CD8723" w14:textId="696A8DB3" w:rsidR="008B6F1C" w:rsidRDefault="00953667" w:rsidP="00953667">
      <w:pPr>
        <w:pStyle w:val="Title"/>
      </w:pPr>
      <w:r>
        <w:t>Consideration of money laundering risks specific to each client</w:t>
      </w:r>
    </w:p>
    <w:p w14:paraId="4A5F60E7" w14:textId="77777777" w:rsidR="00A5653A" w:rsidRPr="00211A1E" w:rsidRDefault="00A5653A" w:rsidP="00211A1E"/>
    <w:p w14:paraId="1DC6865B" w14:textId="643A53A5" w:rsidR="00F26CF6" w:rsidRDefault="00F26CF6" w:rsidP="007528AA">
      <w:pPr>
        <w:pStyle w:val="Heading3"/>
      </w:pPr>
      <w:r>
        <w:t>Client identity verification</w:t>
      </w:r>
    </w:p>
    <w:p w14:paraId="2B2CB896" w14:textId="77777777" w:rsidR="00630C90" w:rsidRPr="008868D1" w:rsidRDefault="00630C90" w:rsidP="00630C90">
      <w:pPr>
        <w:pStyle w:val="ICASBody"/>
      </w:pPr>
      <w:r w:rsidRPr="008868D1">
        <w:t>Obtaining documentary evidence that your prospective client is who they say they are is a key component of the CDD process.</w:t>
      </w:r>
      <w:r>
        <w:t xml:space="preserve"> </w:t>
      </w:r>
      <w:r w:rsidRPr="008868D1">
        <w:t>For individuals and natural persons this is fairly straightforward and the firm should be able to readily demonstrate how they have verified the client’s identity.</w:t>
      </w:r>
    </w:p>
    <w:p w14:paraId="6DB216C0" w14:textId="77777777" w:rsidR="00630C90" w:rsidRPr="008868D1" w:rsidRDefault="00630C90" w:rsidP="00630C90">
      <w:pPr>
        <w:pStyle w:val="ICASBody"/>
      </w:pPr>
      <w:r w:rsidRPr="008868D1">
        <w:t>For corporate entities, trusts</w:t>
      </w:r>
      <w:r>
        <w:t>,</w:t>
      </w:r>
      <w:r w:rsidRPr="008868D1">
        <w:t xml:space="preserve"> or charities</w:t>
      </w:r>
      <w:r>
        <w:t>,</w:t>
      </w:r>
      <w:r w:rsidRPr="008868D1">
        <w:t xml:space="preserve"> evidence should be obtained to confirm the existence of the entity. Key individuals, beneficial owners and officers’ identities are required to be verified.</w:t>
      </w:r>
    </w:p>
    <w:p w14:paraId="641FAFCB" w14:textId="77777777" w:rsidR="00630C90" w:rsidRPr="008868D1" w:rsidRDefault="00630C90" w:rsidP="00630C90">
      <w:pPr>
        <w:pStyle w:val="ICASBody"/>
      </w:pPr>
      <w:r w:rsidRPr="008868D1">
        <w:t>If simplified due diligence is being applied, it would still be expected that the client file would readily demonstrate that the practitioner has confirmed that the client exists</w:t>
      </w:r>
      <w:r>
        <w:t>,</w:t>
      </w:r>
      <w:r w:rsidRPr="008868D1">
        <w:t xml:space="preserve"> although there will not be a need to verify the i</w:t>
      </w:r>
      <w:r>
        <w:t>d</w:t>
      </w:r>
      <w:r w:rsidRPr="008868D1">
        <w:t>entities of key individuals in terms of operating that entity.</w:t>
      </w:r>
    </w:p>
    <w:p w14:paraId="2EA7FC41" w14:textId="77777777" w:rsidR="00630C90" w:rsidRPr="008868D1" w:rsidRDefault="00630C90" w:rsidP="00630C90">
      <w:pPr>
        <w:pStyle w:val="ICASBody"/>
      </w:pPr>
      <w:r w:rsidRPr="008868D1">
        <w:t>In cases where enhanced due diligence is applied</w:t>
      </w:r>
      <w:r>
        <w:t>,</w:t>
      </w:r>
      <w:r w:rsidRPr="008868D1">
        <w:t xml:space="preserve"> at least one additional measure should be taken to support the identity verification process.</w:t>
      </w:r>
      <w:r>
        <w:t xml:space="preserve"> </w:t>
      </w:r>
      <w:r w:rsidRPr="008868D1">
        <w:t>For the most part, normal due diligence procedures will apply.</w:t>
      </w:r>
    </w:p>
    <w:p w14:paraId="7D85069A" w14:textId="77777777" w:rsidR="00630C90" w:rsidRDefault="00630C90" w:rsidP="00630C90">
      <w:pPr>
        <w:pStyle w:val="ICASBody"/>
      </w:pPr>
      <w:r w:rsidRPr="008868D1">
        <w:t xml:space="preserve">It is expected that CDD procedures are completed </w:t>
      </w:r>
      <w:r>
        <w:t>prior</w:t>
      </w:r>
      <w:r w:rsidRPr="008868D1">
        <w:t xml:space="preserve"> to deciding whether to take an individual or entity on as a client. If for some reason there was an exception to the above procedure, then the firm ought to record why the appointment has begun</w:t>
      </w:r>
      <w:r>
        <w:t>,</w:t>
      </w:r>
      <w:r w:rsidRPr="008868D1">
        <w:t xml:space="preserve"> and document what process is in place to ensure that CDD is recorded as soon as</w:t>
      </w:r>
      <w:r>
        <w:t xml:space="preserve"> is</w:t>
      </w:r>
      <w:r w:rsidRPr="008868D1">
        <w:t xml:space="preserve"> practicable</w:t>
      </w:r>
      <w:r>
        <w:t xml:space="preserve"> possible</w:t>
      </w:r>
      <w:r w:rsidRPr="008868D1">
        <w:t xml:space="preserve"> thereafter. Details of acceptable documentation are set out in full below.</w:t>
      </w:r>
    </w:p>
    <w:p w14:paraId="1771224E" w14:textId="77777777" w:rsidR="002F4D50" w:rsidRPr="006E3404" w:rsidRDefault="002F4D50" w:rsidP="002F4D50">
      <w:pPr>
        <w:pStyle w:val="Heading3"/>
      </w:pPr>
      <w:r w:rsidRPr="006E3404">
        <w:t>Recording of background knowledge of client</w:t>
      </w:r>
    </w:p>
    <w:p w14:paraId="548D849F" w14:textId="77777777" w:rsidR="00993816" w:rsidRDefault="00993816" w:rsidP="00993816">
      <w:pPr>
        <w:pStyle w:val="ICASBody"/>
      </w:pPr>
      <w:r w:rsidRPr="008868D1">
        <w:t>It is essential that the firm records fully appropriate background knowledge of</w:t>
      </w:r>
      <w:r>
        <w:t xml:space="preserve"> a</w:t>
      </w:r>
      <w:r w:rsidRPr="008868D1">
        <w:t xml:space="preserve"> client.</w:t>
      </w:r>
      <w:r>
        <w:t xml:space="preserve"> </w:t>
      </w:r>
      <w:r w:rsidRPr="008868D1">
        <w:t xml:space="preserve">There are </w:t>
      </w:r>
      <w:hyperlink r:id="rId10" w:history="1">
        <w:r w:rsidRPr="00A654E6">
          <w:rPr>
            <w:rStyle w:val="Hyperlink"/>
          </w:rPr>
          <w:t>templates available from the General Practice Manual</w:t>
        </w:r>
      </w:hyperlink>
      <w:r>
        <w:t xml:space="preserve"> </w:t>
      </w:r>
      <w:r w:rsidRPr="008868D1">
        <w:t>that should assist with compliance</w:t>
      </w:r>
      <w:r>
        <w:t xml:space="preserve">. </w:t>
      </w:r>
    </w:p>
    <w:p w14:paraId="5425A3EC" w14:textId="77777777" w:rsidR="00993816" w:rsidRDefault="00993816" w:rsidP="00993816">
      <w:pPr>
        <w:pStyle w:val="ICASBody"/>
      </w:pPr>
      <w:r>
        <w:t>Th</w:t>
      </w:r>
      <w:r w:rsidRPr="008868D1">
        <w:t>e information required should include basic details of the client such as:</w:t>
      </w:r>
    </w:p>
    <w:tbl>
      <w:tblPr>
        <w:tblStyle w:val="TableGrid"/>
        <w:tblW w:w="0" w:type="auto"/>
        <w:tblLook w:val="04A0" w:firstRow="1" w:lastRow="0" w:firstColumn="1" w:lastColumn="0" w:noHBand="0" w:noVBand="1"/>
      </w:tblPr>
      <w:tblGrid>
        <w:gridCol w:w="4672"/>
        <w:gridCol w:w="4673"/>
      </w:tblGrid>
      <w:tr w:rsidR="00993816" w14:paraId="34CC47DD" w14:textId="77777777">
        <w:tc>
          <w:tcPr>
            <w:tcW w:w="4672" w:type="dxa"/>
            <w:shd w:val="clear" w:color="auto" w:fill="D9D9D9" w:themeFill="background1" w:themeFillShade="D9"/>
          </w:tcPr>
          <w:p w14:paraId="430E7E9C" w14:textId="77777777" w:rsidR="00993816" w:rsidRPr="00A654E6" w:rsidRDefault="00993816" w:rsidP="00993816">
            <w:pPr>
              <w:pStyle w:val="ICASBody"/>
              <w:rPr>
                <w:b/>
                <w:bCs/>
              </w:rPr>
            </w:pPr>
            <w:r>
              <w:rPr>
                <w:b/>
                <w:bCs/>
              </w:rPr>
              <w:t xml:space="preserve">For Individuals </w:t>
            </w:r>
          </w:p>
        </w:tc>
        <w:tc>
          <w:tcPr>
            <w:tcW w:w="4673" w:type="dxa"/>
            <w:shd w:val="clear" w:color="auto" w:fill="D9D9D9" w:themeFill="background1" w:themeFillShade="D9"/>
          </w:tcPr>
          <w:p w14:paraId="1E1BF367" w14:textId="77777777" w:rsidR="00993816" w:rsidRDefault="00993816" w:rsidP="00993816">
            <w:pPr>
              <w:pStyle w:val="ICASBody"/>
              <w:rPr>
                <w:b/>
                <w:bCs/>
              </w:rPr>
            </w:pPr>
            <w:r>
              <w:rPr>
                <w:b/>
                <w:bCs/>
              </w:rPr>
              <w:t xml:space="preserve">For Entities </w:t>
            </w:r>
          </w:p>
          <w:p w14:paraId="315569E5" w14:textId="77777777" w:rsidR="00993816" w:rsidRPr="00A7118C" w:rsidRDefault="00993816" w:rsidP="00993816">
            <w:pPr>
              <w:pStyle w:val="ICASBody"/>
            </w:pPr>
            <w:r w:rsidRPr="00A7118C">
              <w:t xml:space="preserve">(trading businesses, companies, charities etc.) </w:t>
            </w:r>
          </w:p>
        </w:tc>
      </w:tr>
      <w:tr w:rsidR="00993816" w14:paraId="5CF098B0" w14:textId="77777777">
        <w:tc>
          <w:tcPr>
            <w:tcW w:w="4672" w:type="dxa"/>
          </w:tcPr>
          <w:p w14:paraId="1BEDC2AD" w14:textId="77777777" w:rsidR="00993816" w:rsidRPr="008868D1" w:rsidRDefault="00993816" w:rsidP="00993816">
            <w:pPr>
              <w:pStyle w:val="Title"/>
            </w:pPr>
            <w:r w:rsidRPr="008868D1">
              <w:t>Name</w:t>
            </w:r>
          </w:p>
          <w:p w14:paraId="0B523514" w14:textId="77777777" w:rsidR="00993816" w:rsidRPr="008868D1" w:rsidRDefault="00993816" w:rsidP="00993816">
            <w:pPr>
              <w:pStyle w:val="Title"/>
            </w:pPr>
            <w:r w:rsidRPr="008868D1">
              <w:t>Date of Birth</w:t>
            </w:r>
          </w:p>
          <w:p w14:paraId="6BCAE5A7" w14:textId="77777777" w:rsidR="00993816" w:rsidRPr="008868D1" w:rsidRDefault="00993816" w:rsidP="00993816">
            <w:pPr>
              <w:pStyle w:val="Title"/>
            </w:pPr>
            <w:r w:rsidRPr="008868D1">
              <w:t>Address</w:t>
            </w:r>
          </w:p>
          <w:p w14:paraId="61D92A02" w14:textId="77777777" w:rsidR="00993816" w:rsidRPr="008868D1" w:rsidRDefault="00993816" w:rsidP="00993816">
            <w:pPr>
              <w:pStyle w:val="Title"/>
            </w:pPr>
            <w:r w:rsidRPr="008868D1">
              <w:t>NI Number</w:t>
            </w:r>
          </w:p>
          <w:p w14:paraId="632D6FC2" w14:textId="77777777" w:rsidR="00993816" w:rsidRPr="008868D1" w:rsidRDefault="00993816" w:rsidP="00993816">
            <w:pPr>
              <w:pStyle w:val="Title"/>
            </w:pPr>
            <w:r w:rsidRPr="008868D1">
              <w:t>UTR Number</w:t>
            </w:r>
          </w:p>
          <w:p w14:paraId="612547EE" w14:textId="77777777" w:rsidR="00993816" w:rsidRPr="008868D1" w:rsidRDefault="00993816" w:rsidP="00993816">
            <w:pPr>
              <w:pStyle w:val="Title"/>
            </w:pPr>
            <w:r w:rsidRPr="008868D1">
              <w:t>Details of employment/self-employment</w:t>
            </w:r>
          </w:p>
          <w:p w14:paraId="6E456939" w14:textId="77777777" w:rsidR="00993816" w:rsidRPr="008868D1" w:rsidRDefault="00993816" w:rsidP="00993816">
            <w:pPr>
              <w:pStyle w:val="Title"/>
            </w:pPr>
            <w:r w:rsidRPr="008868D1">
              <w:t>Background information regarding the sources of funds (income and capital)</w:t>
            </w:r>
          </w:p>
          <w:p w14:paraId="77E2A1E5" w14:textId="77777777" w:rsidR="00993816" w:rsidRDefault="00993816" w:rsidP="00993816">
            <w:pPr>
              <w:pStyle w:val="ICASBody"/>
            </w:pPr>
          </w:p>
        </w:tc>
        <w:tc>
          <w:tcPr>
            <w:tcW w:w="4673" w:type="dxa"/>
          </w:tcPr>
          <w:p w14:paraId="4C69C780" w14:textId="77777777" w:rsidR="00993816" w:rsidRPr="008868D1" w:rsidRDefault="00993816" w:rsidP="00993816">
            <w:pPr>
              <w:pStyle w:val="Title"/>
            </w:pPr>
            <w:r w:rsidRPr="008868D1">
              <w:t>Name</w:t>
            </w:r>
          </w:p>
          <w:p w14:paraId="11175657" w14:textId="77777777" w:rsidR="00993816" w:rsidRPr="008868D1" w:rsidRDefault="00993816" w:rsidP="00993816">
            <w:pPr>
              <w:pStyle w:val="Title"/>
            </w:pPr>
            <w:r w:rsidRPr="008868D1">
              <w:t>Trading name (if different)</w:t>
            </w:r>
          </w:p>
          <w:p w14:paraId="4757FD1B" w14:textId="77777777" w:rsidR="00993816" w:rsidRPr="008868D1" w:rsidRDefault="00993816" w:rsidP="00993816">
            <w:pPr>
              <w:pStyle w:val="Title"/>
            </w:pPr>
            <w:r w:rsidRPr="008868D1">
              <w:t>Registered office address</w:t>
            </w:r>
          </w:p>
          <w:p w14:paraId="1595C2D0" w14:textId="77777777" w:rsidR="00993816" w:rsidRPr="008868D1" w:rsidRDefault="00993816" w:rsidP="00993816">
            <w:pPr>
              <w:pStyle w:val="Title"/>
            </w:pPr>
            <w:r w:rsidRPr="008868D1">
              <w:t>Other trading addresses</w:t>
            </w:r>
          </w:p>
          <w:p w14:paraId="2D5F5C69" w14:textId="77777777" w:rsidR="00993816" w:rsidRPr="008868D1" w:rsidRDefault="00993816" w:rsidP="00993816">
            <w:pPr>
              <w:pStyle w:val="Title"/>
            </w:pPr>
            <w:r w:rsidRPr="008868D1">
              <w:t>Company registration number</w:t>
            </w:r>
          </w:p>
          <w:p w14:paraId="3E69007C" w14:textId="77777777" w:rsidR="00993816" w:rsidRPr="008868D1" w:rsidRDefault="00993816" w:rsidP="00993816">
            <w:pPr>
              <w:pStyle w:val="Title"/>
            </w:pPr>
            <w:proofErr w:type="spellStart"/>
            <w:r w:rsidRPr="008868D1">
              <w:t>Year end</w:t>
            </w:r>
            <w:proofErr w:type="spellEnd"/>
            <w:r w:rsidRPr="008868D1">
              <w:t xml:space="preserve"> date</w:t>
            </w:r>
          </w:p>
          <w:p w14:paraId="5D4474CE" w14:textId="77777777" w:rsidR="00993816" w:rsidRPr="008868D1" w:rsidRDefault="00993816" w:rsidP="00993816">
            <w:pPr>
              <w:pStyle w:val="Title"/>
            </w:pPr>
            <w:r w:rsidRPr="008868D1">
              <w:t>Tax reference numbers (CT, VAT, PAYE etc)</w:t>
            </w:r>
          </w:p>
          <w:p w14:paraId="2641E1EC" w14:textId="77777777" w:rsidR="00993816" w:rsidRPr="008868D1" w:rsidRDefault="00993816" w:rsidP="00993816">
            <w:pPr>
              <w:pStyle w:val="Title"/>
            </w:pPr>
            <w:r w:rsidRPr="008868D1">
              <w:t>Nature of business</w:t>
            </w:r>
          </w:p>
          <w:p w14:paraId="4884E177" w14:textId="77777777" w:rsidR="00993816" w:rsidRPr="008868D1" w:rsidRDefault="00993816" w:rsidP="00993816">
            <w:pPr>
              <w:pStyle w:val="Title"/>
            </w:pPr>
            <w:r w:rsidRPr="008868D1">
              <w:t>Typical customers and suppliers</w:t>
            </w:r>
          </w:p>
          <w:p w14:paraId="2CCA7E0E" w14:textId="77777777" w:rsidR="00993816" w:rsidRPr="008868D1" w:rsidRDefault="00993816" w:rsidP="00993816">
            <w:pPr>
              <w:pStyle w:val="Title"/>
            </w:pPr>
            <w:r w:rsidRPr="008868D1">
              <w:t>Nature of transactions</w:t>
            </w:r>
          </w:p>
          <w:p w14:paraId="6F52A12C" w14:textId="77777777" w:rsidR="00993816" w:rsidRPr="008868D1" w:rsidRDefault="00993816" w:rsidP="00993816">
            <w:pPr>
              <w:pStyle w:val="Title"/>
            </w:pPr>
            <w:r w:rsidRPr="008868D1">
              <w:t>Funding sources</w:t>
            </w:r>
          </w:p>
          <w:p w14:paraId="4FFDF6C4" w14:textId="77777777" w:rsidR="00993816" w:rsidRDefault="00993816" w:rsidP="00993816">
            <w:pPr>
              <w:pStyle w:val="ICASBody"/>
            </w:pPr>
          </w:p>
        </w:tc>
      </w:tr>
    </w:tbl>
    <w:p w14:paraId="537DAD60" w14:textId="77777777" w:rsidR="002F4D50" w:rsidRDefault="002F4D50" w:rsidP="00993816">
      <w:pPr>
        <w:pStyle w:val="ICASBody"/>
      </w:pPr>
    </w:p>
    <w:p w14:paraId="0BC52D92" w14:textId="77777777" w:rsidR="00A34019" w:rsidRPr="006E3404" w:rsidRDefault="00A34019" w:rsidP="00A34019">
      <w:pPr>
        <w:pStyle w:val="Heading3"/>
      </w:pPr>
      <w:r w:rsidRPr="006E3404">
        <w:t>Consideration of money laundering risks specific to each client</w:t>
      </w:r>
    </w:p>
    <w:p w14:paraId="2671F0BD" w14:textId="3C760D13" w:rsidR="00A34019" w:rsidRPr="008868D1" w:rsidRDefault="00A34019" w:rsidP="00A4051D">
      <w:pPr>
        <w:pStyle w:val="ICASBody"/>
      </w:pPr>
      <w:r w:rsidRPr="008868D1">
        <w:t xml:space="preserve">The 2017 Anti-Money Laundering Regulations </w:t>
      </w:r>
      <w:r>
        <w:t>highlight the</w:t>
      </w:r>
      <w:r w:rsidRPr="008868D1">
        <w:t xml:space="preserve"> importance of risk assessments to the CDD process.</w:t>
      </w:r>
      <w:r>
        <w:t xml:space="preserve"> </w:t>
      </w:r>
      <w:r w:rsidRPr="008868D1">
        <w:t xml:space="preserve">The firm must be able to demonstrate that they have considered the money laundering risks pertaining to </w:t>
      </w:r>
      <w:r>
        <w:t>every</w:t>
      </w:r>
      <w:r w:rsidRPr="008868D1">
        <w:t xml:space="preserve"> client. Common risk factors are set out on the </w:t>
      </w:r>
      <w:r>
        <w:t>‘K</w:t>
      </w:r>
      <w:r w:rsidRPr="008868D1">
        <w:t xml:space="preserve">now your </w:t>
      </w:r>
      <w:r>
        <w:t>C</w:t>
      </w:r>
      <w:r w:rsidRPr="008868D1">
        <w:t>lient</w:t>
      </w:r>
      <w:r>
        <w:t>’</w:t>
      </w:r>
      <w:r w:rsidRPr="008868D1">
        <w:t xml:space="preserve"> </w:t>
      </w:r>
      <w:hyperlink r:id="rId11" w:history="1">
        <w:r w:rsidRPr="00A654E6">
          <w:rPr>
            <w:rStyle w:val="Hyperlink"/>
          </w:rPr>
          <w:t>templates available from the General Practice Manual</w:t>
        </w:r>
      </w:hyperlink>
    </w:p>
    <w:p w14:paraId="7C2D4D10" w14:textId="77777777" w:rsidR="00A34019" w:rsidRPr="008868D1" w:rsidRDefault="00A34019" w:rsidP="00A4051D">
      <w:pPr>
        <w:pStyle w:val="ICASBody"/>
      </w:pPr>
      <w:r w:rsidRPr="008868D1">
        <w:t>Comm</w:t>
      </w:r>
      <w:r>
        <w:t>o</w:t>
      </w:r>
      <w:r w:rsidRPr="008868D1">
        <w:t xml:space="preserve">n areas of risk </w:t>
      </w:r>
      <w:r>
        <w:t>are</w:t>
      </w:r>
      <w:r w:rsidRPr="008868D1">
        <w:t xml:space="preserve"> acting for cash intensive businesses, acting for clients with overly complex business arrangements</w:t>
      </w:r>
      <w:r>
        <w:t>, and</w:t>
      </w:r>
      <w:r w:rsidRPr="008868D1">
        <w:t xml:space="preserve"> acting in business sectors where money laundering has been common in the past</w:t>
      </w:r>
      <w:r>
        <w:t>, to name just three examples</w:t>
      </w:r>
      <w:r w:rsidRPr="008868D1">
        <w:t>.</w:t>
      </w:r>
    </w:p>
    <w:p w14:paraId="70F246CF" w14:textId="77777777" w:rsidR="00A34019" w:rsidRPr="0091121A" w:rsidRDefault="00A34019" w:rsidP="00DA240C">
      <w:pPr>
        <w:pStyle w:val="Heading3"/>
      </w:pPr>
      <w:r w:rsidRPr="0091121A">
        <w:t>Ongoing monitoring</w:t>
      </w:r>
    </w:p>
    <w:p w14:paraId="199377E6" w14:textId="0979AA49" w:rsidR="00A34019" w:rsidRPr="008868D1" w:rsidRDefault="00A34019" w:rsidP="00A4051D">
      <w:pPr>
        <w:pStyle w:val="ICASBody"/>
      </w:pPr>
      <w:r w:rsidRPr="008868D1">
        <w:t xml:space="preserve">All firms are obliged to ensure that their CDD documentation is subject to ongoing monitoring. It should be clear that the firm has carried out such an exercise regularly, perhaps simply by initialling and dating the </w:t>
      </w:r>
      <w:r>
        <w:t>‘K</w:t>
      </w:r>
      <w:r w:rsidRPr="008868D1">
        <w:t xml:space="preserve">now your </w:t>
      </w:r>
      <w:r w:rsidR="00FA681A">
        <w:t>client</w:t>
      </w:r>
      <w:r>
        <w:t>’</w:t>
      </w:r>
      <w:r w:rsidRPr="008868D1">
        <w:t xml:space="preserve"> schedules to record that there have been no changes (if appropriate).</w:t>
      </w:r>
    </w:p>
    <w:p w14:paraId="496B8068" w14:textId="77777777" w:rsidR="00A34019" w:rsidRPr="008868D1" w:rsidRDefault="00A34019" w:rsidP="00A4051D">
      <w:pPr>
        <w:pStyle w:val="ICASBody"/>
      </w:pPr>
      <w:r w:rsidRPr="008868D1">
        <w:t xml:space="preserve">As this is a requirement, we recommend that you review and update the risk assessment element at least once a year. </w:t>
      </w:r>
      <w:r>
        <w:t xml:space="preserve">For example, it might be </w:t>
      </w:r>
      <w:r w:rsidRPr="008868D1">
        <w:t xml:space="preserve">best to include </w:t>
      </w:r>
      <w:r>
        <w:t xml:space="preserve">this </w:t>
      </w:r>
      <w:r w:rsidRPr="008868D1">
        <w:t>as an integral part of the planning process of each assignment i.e. when starting an annual accounts preparation</w:t>
      </w:r>
      <w:r>
        <w:t xml:space="preserve"> job</w:t>
      </w:r>
      <w:r w:rsidRPr="008868D1">
        <w:t xml:space="preserve"> or self-assessment tax return assignment. Adding it to the relevant checklist would act as a reminder at the appropriate time.</w:t>
      </w:r>
    </w:p>
    <w:p w14:paraId="3C29E50E" w14:textId="77777777" w:rsidR="00A34019" w:rsidRPr="008868D1" w:rsidRDefault="00A34019" w:rsidP="00A4051D">
      <w:pPr>
        <w:pStyle w:val="ICASBody"/>
      </w:pPr>
      <w:r w:rsidRPr="008868D1">
        <w:t xml:space="preserve">As part of this review process, you should also ensure that you have adequate proof of identity on file. You do not need to perform a new identity check every year, or to obtain a copy of a current driving licence or passport just because the one you have on file has expired. However, if the details have changed, such as a change of name, it is best practice to obtain fresh documentation.  </w:t>
      </w:r>
    </w:p>
    <w:p w14:paraId="2E452AAB" w14:textId="0FBFC034" w:rsidR="00A34019" w:rsidRPr="008868D1" w:rsidRDefault="00A34019" w:rsidP="00A4051D">
      <w:pPr>
        <w:pStyle w:val="ICASBody"/>
      </w:pPr>
      <w:r w:rsidRPr="008868D1">
        <w:t>The 5</w:t>
      </w:r>
      <w:r w:rsidRPr="008868D1">
        <w:rPr>
          <w:vertAlign w:val="superscript"/>
        </w:rPr>
        <w:t>th</w:t>
      </w:r>
      <w:r w:rsidRPr="008868D1">
        <w:t xml:space="preserve"> AML Directive encourages the use of electronic identification procedures, and many providers have a facility to automatically perform annual identification checks.</w:t>
      </w:r>
      <w:r>
        <w:t xml:space="preserve"> </w:t>
      </w:r>
      <w:r w:rsidRPr="008868D1">
        <w:t xml:space="preserve">They may also, as additional services, perform checks to establish whether the individual is a PEP and whether there is any adverse media against the subject. Automating these checks to run on a regular basis, such as annually or every two or three years, makes it easier to identify changes and risks which may not otherwise become apparent with </w:t>
      </w:r>
      <w:r w:rsidR="00151B0D" w:rsidRPr="008868D1">
        <w:t>an</w:t>
      </w:r>
      <w:r w:rsidRPr="008868D1">
        <w:t xml:space="preserve"> unautomated manual system, and may be more cost effective in the long run.</w:t>
      </w:r>
    </w:p>
    <w:p w14:paraId="2E82C122" w14:textId="77777777" w:rsidR="00A34019" w:rsidRPr="008868D1" w:rsidRDefault="00A34019" w:rsidP="00A4051D">
      <w:pPr>
        <w:pStyle w:val="ICASBody"/>
      </w:pPr>
      <w:r w:rsidRPr="008868D1">
        <w:t xml:space="preserve">The identification requirements for individuals, companies, and charities are set out below.  </w:t>
      </w:r>
    </w:p>
    <w:p w14:paraId="65EA105F" w14:textId="77777777" w:rsidR="00F72F76" w:rsidRDefault="00F72F76" w:rsidP="00F72F76">
      <w:pPr>
        <w:pStyle w:val="Heading2"/>
        <w:rPr>
          <w:sz w:val="20"/>
        </w:rPr>
      </w:pPr>
      <w:r w:rsidRPr="00626633">
        <w:t xml:space="preserve">Appropriate Identity </w:t>
      </w:r>
      <w:r>
        <w:t>D</w:t>
      </w:r>
      <w:r w:rsidRPr="00626633">
        <w:t>ocumentation</w:t>
      </w:r>
    </w:p>
    <w:p w14:paraId="5F82FCC1" w14:textId="682EC5F2" w:rsidR="00F72F76" w:rsidRPr="008868D1" w:rsidRDefault="00F72F76" w:rsidP="00F72F76">
      <w:pPr>
        <w:pStyle w:val="Heading3"/>
      </w:pPr>
      <w:r w:rsidRPr="008868D1">
        <w:t>Individuals</w:t>
      </w:r>
    </w:p>
    <w:p w14:paraId="3F2755B3" w14:textId="4AE6E144" w:rsidR="00F72F76" w:rsidRPr="008868D1" w:rsidRDefault="00F72F76" w:rsidP="007E1F14">
      <w:pPr>
        <w:pStyle w:val="ICASBody"/>
      </w:pPr>
      <w:r w:rsidRPr="00626633">
        <w:t>Electronic ID Check</w:t>
      </w:r>
      <w:r w:rsidRPr="008868D1">
        <w:t xml:space="preserve"> – if you undertake an electronic ID check using a reputable provider of such services, that is sufficient evidence</w:t>
      </w:r>
      <w:r>
        <w:t xml:space="preserve"> and you </w:t>
      </w:r>
      <w:r w:rsidRPr="008868D1">
        <w:t xml:space="preserve">do not need to do any more. </w:t>
      </w:r>
      <w:r w:rsidR="00175A0F">
        <w:t xml:space="preserve">The </w:t>
      </w:r>
      <w:hyperlink r:id="rId12" w:history="1">
        <w:r w:rsidR="00175A0F" w:rsidRPr="0086363A">
          <w:rPr>
            <w:rStyle w:val="Hyperlink"/>
          </w:rPr>
          <w:t>CCAB</w:t>
        </w:r>
        <w:r w:rsidR="007E1F14" w:rsidRPr="0086363A">
          <w:rPr>
            <w:rStyle w:val="Hyperlink"/>
          </w:rPr>
          <w:t xml:space="preserve"> Anti-Money Laundering, Counter-Terrorist and Counter-Proliferation Financing Guidance for the Accountancy Sector</w:t>
        </w:r>
      </w:hyperlink>
      <w:r w:rsidR="007E1F14">
        <w:t xml:space="preserve"> </w:t>
      </w:r>
      <w:r w:rsidR="000111C7">
        <w:t xml:space="preserve">contains further information on </w:t>
      </w:r>
      <w:r w:rsidR="00693495">
        <w:t xml:space="preserve">the use of </w:t>
      </w:r>
      <w:r w:rsidR="00513E0A">
        <w:t xml:space="preserve">electronic </w:t>
      </w:r>
      <w:r w:rsidR="00693495">
        <w:t xml:space="preserve">data services. </w:t>
      </w:r>
      <w:r w:rsidRPr="008868D1">
        <w:t>The Practice Team at ICAS can provide details of reputable providers.</w:t>
      </w:r>
    </w:p>
    <w:p w14:paraId="630F88D8" w14:textId="77777777" w:rsidR="00F72F76" w:rsidRDefault="00F72F76" w:rsidP="00A4051D">
      <w:pPr>
        <w:pStyle w:val="ICASBody"/>
      </w:pPr>
      <w:r w:rsidRPr="002C59CB">
        <w:t>Appropriate Photographic ID –</w:t>
      </w:r>
      <w:r w:rsidRPr="008868D1">
        <w:t xml:space="preserve"> if you obtain a government issued document with the individual’s full name and photograph and </w:t>
      </w:r>
      <w:r w:rsidRPr="00A4051D">
        <w:rPr>
          <w:b/>
          <w:bCs/>
        </w:rPr>
        <w:t>either</w:t>
      </w:r>
      <w:r w:rsidRPr="008868D1">
        <w:rPr>
          <w:b/>
          <w:bCs/>
          <w:i/>
          <w:iCs/>
        </w:rPr>
        <w:t xml:space="preserve"> </w:t>
      </w:r>
      <w:r w:rsidRPr="008868D1">
        <w:t xml:space="preserve">their date of birth </w:t>
      </w:r>
      <w:r w:rsidRPr="008868D1">
        <w:rPr>
          <w:b/>
          <w:bCs/>
          <w:i/>
          <w:iCs/>
        </w:rPr>
        <w:t>or</w:t>
      </w:r>
      <w:r w:rsidRPr="008868D1">
        <w:t xml:space="preserve"> their residential address, that is sufficient evidence.  Examples of such documents are a passport, a photocard driving licence (full or provisional), national identity card (for non</w:t>
      </w:r>
      <w:r>
        <w:t>-</w:t>
      </w:r>
      <w:r w:rsidRPr="008868D1">
        <w:t>UK nationals)</w:t>
      </w:r>
      <w:r>
        <w:t xml:space="preserve"> or</w:t>
      </w:r>
      <w:r w:rsidRPr="008868D1">
        <w:t xml:space="preserve"> a firearms certificate or shotgun licence.</w:t>
      </w:r>
    </w:p>
    <w:p w14:paraId="6601B7FC" w14:textId="4D1C9092" w:rsidR="00F72F76" w:rsidRPr="008868D1" w:rsidRDefault="00F72F76" w:rsidP="00A4051D">
      <w:pPr>
        <w:pStyle w:val="ICASBody"/>
        <w:rPr>
          <w:rStyle w:val="Emphasis"/>
          <w:i w:val="0"/>
          <w:iCs w:val="0"/>
        </w:rPr>
      </w:pPr>
      <w:r w:rsidRPr="006B694C">
        <w:t>No photographic ID available</w:t>
      </w:r>
      <w:r w:rsidRPr="008868D1">
        <w:t xml:space="preserve"> – you should obtain a government issued document with the individual’s full name (such as a </w:t>
      </w:r>
      <w:r w:rsidR="00EE1D2B" w:rsidRPr="008868D1">
        <w:t>non-photocard</w:t>
      </w:r>
      <w:r w:rsidRPr="008868D1">
        <w:t xml:space="preserve"> driving licence, or a recent letter evidencing entitlement to a state or local authority benefit </w:t>
      </w:r>
      <w:r>
        <w:t xml:space="preserve">e.g. </w:t>
      </w:r>
      <w:r w:rsidRPr="008868D1">
        <w:t xml:space="preserve">housing or council tax benefit, universal credit, pension, educational or other grant) </w:t>
      </w:r>
      <w:r w:rsidRPr="00A4051D">
        <w:rPr>
          <w:b/>
          <w:bCs/>
        </w:rPr>
        <w:t>and a second document</w:t>
      </w:r>
      <w:r w:rsidRPr="008868D1">
        <w:rPr>
          <w:b/>
          <w:bCs/>
          <w:i/>
          <w:iCs/>
        </w:rPr>
        <w:t xml:space="preserve"> </w:t>
      </w:r>
      <w:r w:rsidRPr="008868D1">
        <w:t xml:space="preserve">issued by a government department, local authority or an FCA Regulated firm in the financial services industry with the individual’s full name and </w:t>
      </w:r>
      <w:r w:rsidRPr="008868D1">
        <w:rPr>
          <w:b/>
          <w:bCs/>
          <w:i/>
          <w:iCs/>
        </w:rPr>
        <w:t xml:space="preserve">either </w:t>
      </w:r>
      <w:r w:rsidRPr="008868D1">
        <w:t xml:space="preserve">their date of birth </w:t>
      </w:r>
      <w:r w:rsidRPr="008868D1">
        <w:rPr>
          <w:b/>
          <w:bCs/>
          <w:i/>
          <w:iCs/>
        </w:rPr>
        <w:t>or</w:t>
      </w:r>
      <w:r w:rsidRPr="008868D1">
        <w:t xml:space="preserve"> their residential address (such as a council tax demand, utility bill, current bank or credit card statement, but </w:t>
      </w:r>
      <w:r w:rsidRPr="008868D1">
        <w:rPr>
          <w:b/>
          <w:bCs/>
          <w:i/>
          <w:iCs/>
        </w:rPr>
        <w:t xml:space="preserve">not </w:t>
      </w:r>
      <w:r w:rsidRPr="008868D1">
        <w:t>ones printed off the internet).</w:t>
      </w:r>
      <w:r>
        <w:t xml:space="preserve"> </w:t>
      </w:r>
      <w:r w:rsidRPr="008868D1">
        <w:t>In this context, “recent” means dated within the last three months.</w:t>
      </w:r>
    </w:p>
    <w:p w14:paraId="6AFC1F80" w14:textId="32C00D68" w:rsidR="00F72F76" w:rsidRPr="008868D1" w:rsidRDefault="00F72F76" w:rsidP="00A4051D">
      <w:pPr>
        <w:pStyle w:val="ICASBody"/>
      </w:pPr>
      <w:r w:rsidRPr="008868D1">
        <w:t xml:space="preserve">No matter which of the three above methods you use, for all </w:t>
      </w:r>
      <w:r w:rsidR="00EE1D2B">
        <w:t>high-risk</w:t>
      </w:r>
      <w:r w:rsidRPr="008868D1">
        <w:t xml:space="preserve"> individuals, you should further confirm their residential address by </w:t>
      </w:r>
      <w:r w:rsidRPr="00A4051D">
        <w:rPr>
          <w:b/>
          <w:bCs/>
        </w:rPr>
        <w:t>either</w:t>
      </w:r>
      <w:r w:rsidRPr="008868D1">
        <w:t xml:space="preserve"> contacting them at that address </w:t>
      </w:r>
      <w:r w:rsidRPr="008868D1">
        <w:rPr>
          <w:b/>
          <w:bCs/>
          <w:i/>
          <w:iCs/>
        </w:rPr>
        <w:t xml:space="preserve">or </w:t>
      </w:r>
      <w:r w:rsidRPr="008868D1">
        <w:t>obtaining an additional document listed above.</w:t>
      </w:r>
    </w:p>
    <w:p w14:paraId="65517359" w14:textId="77777777" w:rsidR="00F72F76" w:rsidRPr="008868D1" w:rsidRDefault="00F72F76" w:rsidP="00A4051D">
      <w:pPr>
        <w:pStyle w:val="Heading3"/>
      </w:pPr>
      <w:r w:rsidRPr="008868D1">
        <w:t>Companies</w:t>
      </w:r>
    </w:p>
    <w:p w14:paraId="00C3154C" w14:textId="77777777" w:rsidR="00F72F76" w:rsidRPr="008868D1" w:rsidRDefault="00F72F76" w:rsidP="00A4051D">
      <w:pPr>
        <w:pStyle w:val="ICASBody"/>
      </w:pPr>
      <w:r w:rsidRPr="008868D1">
        <w:t>When dealing with a limited company, you should obtain written confirmation from the company that the person instructing you is authorised to do so and is who he says he is.</w:t>
      </w:r>
    </w:p>
    <w:p w14:paraId="5714B0AB" w14:textId="77777777" w:rsidR="00F72F76" w:rsidRPr="008868D1" w:rsidRDefault="00F72F76" w:rsidP="00A4051D">
      <w:pPr>
        <w:pStyle w:val="ICASBody"/>
      </w:pPr>
      <w:r w:rsidRPr="008868D1">
        <w:t>For companies that are listed on a recognised stock exchange in the EEA, you may apply simple due diligence and verify its listing on the relevant stock exchange</w:t>
      </w:r>
    </w:p>
    <w:p w14:paraId="4FCA6278" w14:textId="77777777" w:rsidR="00F72F76" w:rsidRPr="008868D1" w:rsidRDefault="00F72F76" w:rsidP="00A4051D">
      <w:pPr>
        <w:pStyle w:val="ICASBody"/>
      </w:pPr>
      <w:r w:rsidRPr="008868D1">
        <w:t>For or all other companies you should:</w:t>
      </w:r>
    </w:p>
    <w:p w14:paraId="22306C70" w14:textId="391FB18E" w:rsidR="00F72F76" w:rsidRPr="008868D1" w:rsidRDefault="00F72F76" w:rsidP="00AF52AD">
      <w:pPr>
        <w:pStyle w:val="ICASBody"/>
        <w:numPr>
          <w:ilvl w:val="0"/>
          <w:numId w:val="27"/>
        </w:numPr>
      </w:pPr>
      <w:r w:rsidRPr="008868D1">
        <w:t>Verify the existence of the company on the relevant register or obtain a copy of the Certificate of Incorporation</w:t>
      </w:r>
      <w:r w:rsidR="00EE1D2B">
        <w:t>.</w:t>
      </w:r>
    </w:p>
    <w:p w14:paraId="36BCCC2C" w14:textId="53743A3D" w:rsidR="00F72F76" w:rsidRPr="008868D1" w:rsidRDefault="00F72F76" w:rsidP="00AF52AD">
      <w:pPr>
        <w:pStyle w:val="ICASBody"/>
        <w:numPr>
          <w:ilvl w:val="0"/>
          <w:numId w:val="27"/>
        </w:numPr>
      </w:pPr>
      <w:r w:rsidRPr="008868D1">
        <w:t>List all the directors (or equivalent) and undertake individual identity checks for some or all</w:t>
      </w:r>
      <w:r w:rsidR="00EE1D2B">
        <w:t>.</w:t>
      </w:r>
    </w:p>
    <w:p w14:paraId="03F17267" w14:textId="485ADE08" w:rsidR="00F72F76" w:rsidRPr="008868D1" w:rsidRDefault="00F72F76" w:rsidP="00AF52AD">
      <w:pPr>
        <w:pStyle w:val="ICASBody"/>
        <w:numPr>
          <w:ilvl w:val="0"/>
          <w:numId w:val="27"/>
        </w:numPr>
      </w:pPr>
      <w:r w:rsidRPr="008868D1">
        <w:t>List all the beneficial owners (25% or more control) and undertake individual identity checks for some or all</w:t>
      </w:r>
      <w:r w:rsidR="00EE1D2B">
        <w:t xml:space="preserve">. </w:t>
      </w:r>
    </w:p>
    <w:p w14:paraId="60BE98A8" w14:textId="77777777" w:rsidR="00F72F76" w:rsidRPr="008868D1" w:rsidRDefault="00F72F76" w:rsidP="00AF52AD">
      <w:pPr>
        <w:pStyle w:val="ICASBody"/>
        <w:numPr>
          <w:ilvl w:val="0"/>
          <w:numId w:val="27"/>
        </w:numPr>
      </w:pPr>
      <w:r w:rsidRPr="008868D1">
        <w:t>For UK companies, confirm that the details obtained at 2 and 3 above agree with the details on the PSC Register at Companies House and report any discrepancies</w:t>
      </w:r>
      <w:r>
        <w:t>.</w:t>
      </w:r>
    </w:p>
    <w:p w14:paraId="0AF34A90" w14:textId="77777777" w:rsidR="00F72F76" w:rsidRPr="008868D1" w:rsidRDefault="00F72F76" w:rsidP="00A4051D">
      <w:pPr>
        <w:pStyle w:val="ICASBody"/>
      </w:pPr>
      <w:r w:rsidRPr="008868D1">
        <w:t xml:space="preserve">The number of directors and beneficial owners to be individually identified will be higher for companies assessed to be </w:t>
      </w:r>
      <w:r>
        <w:t>high risk.</w:t>
      </w:r>
    </w:p>
    <w:p w14:paraId="32802E83" w14:textId="1065FAA5" w:rsidR="00F72F76" w:rsidRPr="008868D1" w:rsidRDefault="00F72F76" w:rsidP="00AF52AD">
      <w:pPr>
        <w:pStyle w:val="Heading3"/>
      </w:pPr>
      <w:r w:rsidRPr="008868D1">
        <w:t>Charities</w:t>
      </w:r>
      <w:r>
        <w:t xml:space="preserve">/ </w:t>
      </w:r>
      <w:r w:rsidRPr="008868D1">
        <w:t>Not for profit organisations</w:t>
      </w:r>
    </w:p>
    <w:p w14:paraId="7A8513E7" w14:textId="77777777" w:rsidR="00F72F76" w:rsidRPr="008868D1" w:rsidRDefault="00F72F76" w:rsidP="00AF52AD">
      <w:pPr>
        <w:pStyle w:val="ICASBody"/>
      </w:pPr>
      <w:r w:rsidRPr="008868D1">
        <w:t>When dealing with a charity, you should obtain written confirmation from the charity that the person instructing you is authorised to do so and is who he says he is.</w:t>
      </w:r>
    </w:p>
    <w:p w14:paraId="5E598D96" w14:textId="77777777" w:rsidR="00F72F76" w:rsidRPr="008868D1" w:rsidRDefault="00F72F76" w:rsidP="00AF52AD">
      <w:pPr>
        <w:pStyle w:val="ICASBody"/>
      </w:pPr>
      <w:r w:rsidRPr="008868D1">
        <w:t>You should also:</w:t>
      </w:r>
    </w:p>
    <w:p w14:paraId="2C999952" w14:textId="2DB88323" w:rsidR="00F72F76" w:rsidRPr="008868D1" w:rsidRDefault="00F72F76" w:rsidP="00AF52AD">
      <w:pPr>
        <w:pStyle w:val="ICASBody"/>
        <w:numPr>
          <w:ilvl w:val="0"/>
          <w:numId w:val="28"/>
        </w:numPr>
      </w:pPr>
      <w:r w:rsidRPr="008868D1">
        <w:t>Verify the existence of the charity on the relevant register</w:t>
      </w:r>
      <w:r w:rsidR="00FA681A">
        <w:t>.</w:t>
      </w:r>
    </w:p>
    <w:p w14:paraId="1B9BB2DC" w14:textId="34BF65FE" w:rsidR="00F72F76" w:rsidRPr="008868D1" w:rsidRDefault="00F72F76" w:rsidP="00AF52AD">
      <w:pPr>
        <w:pStyle w:val="ICASBody"/>
        <w:numPr>
          <w:ilvl w:val="0"/>
          <w:numId w:val="28"/>
        </w:numPr>
      </w:pPr>
      <w:r w:rsidRPr="008868D1">
        <w:t>Obtain a copy of the founding document</w:t>
      </w:r>
      <w:r w:rsidR="00FA681A">
        <w:t>.</w:t>
      </w:r>
    </w:p>
    <w:p w14:paraId="3F29741E" w14:textId="77777777" w:rsidR="00F72F76" w:rsidRPr="008868D1" w:rsidRDefault="00F72F76" w:rsidP="00AF52AD">
      <w:pPr>
        <w:pStyle w:val="ICASBody"/>
        <w:numPr>
          <w:ilvl w:val="0"/>
          <w:numId w:val="28"/>
        </w:numPr>
      </w:pPr>
      <w:r w:rsidRPr="008868D1">
        <w:t>List all the trustees (or equivalent) and undertake individual identity checks for some or all</w:t>
      </w:r>
      <w:r>
        <w:t>.</w:t>
      </w:r>
    </w:p>
    <w:p w14:paraId="345886B4" w14:textId="77777777" w:rsidR="00F72F76" w:rsidRPr="008868D1" w:rsidRDefault="00F72F76" w:rsidP="00AF52AD">
      <w:pPr>
        <w:pStyle w:val="ICASBody"/>
      </w:pPr>
      <w:r w:rsidRPr="008868D1">
        <w:t xml:space="preserve">As a minimum, you should individually identify the main office bearers (chair, secretary, treasurer) and the instructing representative (if different). However, the number of trustees to be individually identified will be higher for charities assessed to be </w:t>
      </w:r>
      <w:r>
        <w:t xml:space="preserve">high risk. </w:t>
      </w:r>
      <w:r w:rsidRPr="008868D1">
        <w:t xml:space="preserve"> </w:t>
      </w:r>
    </w:p>
    <w:p w14:paraId="4FFE09BA" w14:textId="77777777" w:rsidR="00F72F76" w:rsidRPr="008868D1" w:rsidRDefault="00F72F76" w:rsidP="00D30911">
      <w:pPr>
        <w:pStyle w:val="Heading3"/>
      </w:pPr>
      <w:r w:rsidRPr="008868D1">
        <w:t>Other entities</w:t>
      </w:r>
    </w:p>
    <w:p w14:paraId="5FC7FE42" w14:textId="77777777" w:rsidR="00F72F76" w:rsidRPr="008868D1" w:rsidRDefault="00F72F76" w:rsidP="00D30911">
      <w:pPr>
        <w:pStyle w:val="ICASBody"/>
      </w:pPr>
      <w:r w:rsidRPr="008868D1">
        <w:t xml:space="preserve">Guidance on identification requirements on the following entities is available </w:t>
      </w:r>
      <w:r>
        <w:t xml:space="preserve">from Practice Support </w:t>
      </w:r>
      <w:r w:rsidRPr="008868D1">
        <w:t xml:space="preserve">on request </w:t>
      </w:r>
      <w:r>
        <w:t xml:space="preserve">through the </w:t>
      </w:r>
      <w:hyperlink r:id="rId13" w:history="1">
        <w:r w:rsidRPr="008C56CF">
          <w:rPr>
            <w:rStyle w:val="Hyperlink"/>
          </w:rPr>
          <w:t>ICAS technical helpdesk</w:t>
        </w:r>
      </w:hyperlink>
      <w:r>
        <w:rPr>
          <w:rStyle w:val="Hyperlink"/>
        </w:rPr>
        <w:t>:</w:t>
      </w:r>
      <w:r w:rsidRPr="008868D1">
        <w:t xml:space="preserve"> </w:t>
      </w:r>
    </w:p>
    <w:p w14:paraId="16721414" w14:textId="77777777" w:rsidR="00F72F76" w:rsidRPr="008868D1" w:rsidRDefault="00F72F76" w:rsidP="00D30911">
      <w:pPr>
        <w:pStyle w:val="Title"/>
      </w:pPr>
      <w:r w:rsidRPr="008868D1">
        <w:t>Clients who you have not met in person</w:t>
      </w:r>
    </w:p>
    <w:p w14:paraId="3178FE89" w14:textId="77777777" w:rsidR="00F72F76" w:rsidRPr="008868D1" w:rsidRDefault="00F72F76" w:rsidP="00D30911">
      <w:pPr>
        <w:pStyle w:val="Title"/>
      </w:pPr>
      <w:r w:rsidRPr="008868D1">
        <w:t>Clubs and Societies</w:t>
      </w:r>
    </w:p>
    <w:p w14:paraId="09C99B40" w14:textId="77777777" w:rsidR="00F72F76" w:rsidRPr="008868D1" w:rsidRDefault="00F72F76" w:rsidP="00D30911">
      <w:pPr>
        <w:pStyle w:val="Title"/>
      </w:pPr>
      <w:r w:rsidRPr="008868D1">
        <w:t>FCA Authorised firms</w:t>
      </w:r>
    </w:p>
    <w:p w14:paraId="165592AF" w14:textId="77777777" w:rsidR="00F72F76" w:rsidRPr="008868D1" w:rsidRDefault="00F72F76" w:rsidP="00D30911">
      <w:pPr>
        <w:pStyle w:val="Title"/>
      </w:pPr>
      <w:r w:rsidRPr="008868D1">
        <w:t>Local Authorities, Councils, or government departments</w:t>
      </w:r>
    </w:p>
    <w:p w14:paraId="6BE91265" w14:textId="77777777" w:rsidR="00F72F76" w:rsidRPr="008868D1" w:rsidRDefault="00F72F76" w:rsidP="00D30911">
      <w:pPr>
        <w:pStyle w:val="Title"/>
      </w:pPr>
      <w:r w:rsidRPr="008868D1">
        <w:t>Partnerships and unincorporated businesses</w:t>
      </w:r>
    </w:p>
    <w:p w14:paraId="6773B030" w14:textId="77777777" w:rsidR="00F72F76" w:rsidRPr="008868D1" w:rsidRDefault="00F72F76" w:rsidP="00D30911">
      <w:pPr>
        <w:pStyle w:val="Title"/>
      </w:pPr>
      <w:r w:rsidRPr="008868D1">
        <w:t>Pension Schemes</w:t>
      </w:r>
    </w:p>
    <w:p w14:paraId="5C3B193F" w14:textId="77777777" w:rsidR="00F72F76" w:rsidRPr="008868D1" w:rsidRDefault="00F72F76" w:rsidP="00D30911">
      <w:pPr>
        <w:pStyle w:val="Title"/>
      </w:pPr>
      <w:r w:rsidRPr="008868D1">
        <w:t>Professional Firms</w:t>
      </w:r>
    </w:p>
    <w:p w14:paraId="624470BC" w14:textId="77777777" w:rsidR="00F72F76" w:rsidRPr="008868D1" w:rsidRDefault="00F72F76" w:rsidP="00D30911">
      <w:pPr>
        <w:pStyle w:val="Title"/>
      </w:pPr>
      <w:r w:rsidRPr="008868D1">
        <w:t>Trusts</w:t>
      </w:r>
    </w:p>
    <w:p w14:paraId="6B2CA7C2" w14:textId="77777777" w:rsidR="00630C90" w:rsidRPr="00F26CF6" w:rsidRDefault="00630C90" w:rsidP="00F26CF6"/>
    <w:p w14:paraId="284593BC" w14:textId="47E12C58" w:rsidR="00144954" w:rsidRPr="00DA171C" w:rsidRDefault="00DA171C" w:rsidP="007528AA">
      <w:pPr>
        <w:pStyle w:val="Heading2"/>
      </w:pPr>
      <w:r w:rsidRPr="00DA171C">
        <w:t>Specimen Documents</w:t>
      </w:r>
    </w:p>
    <w:p w14:paraId="61C4B353" w14:textId="77777777" w:rsidR="00B546B3" w:rsidRPr="006009B8" w:rsidRDefault="004E24BF" w:rsidP="00B546B3">
      <w:pPr>
        <w:spacing w:after="120"/>
        <w:textAlignment w:val="baseline"/>
        <w:rPr>
          <w:rFonts w:ascii="Arial" w:hAnsi="Arial" w:cs="Arial"/>
          <w:sz w:val="20"/>
        </w:rPr>
      </w:pPr>
      <w:hyperlink r:id="rId14" w:history="1">
        <w:r w:rsidR="00B546B3" w:rsidRPr="00E83F8A">
          <w:rPr>
            <w:rStyle w:val="Hyperlink"/>
            <w:sz w:val="20"/>
          </w:rPr>
          <w:t>Know Your Client and Risk Assessment – Individual  </w:t>
        </w:r>
      </w:hyperlink>
    </w:p>
    <w:p w14:paraId="52206705" w14:textId="77777777" w:rsidR="00B546B3" w:rsidRPr="006009B8" w:rsidRDefault="004E24BF" w:rsidP="00B546B3">
      <w:pPr>
        <w:spacing w:after="120"/>
        <w:textAlignment w:val="baseline"/>
        <w:rPr>
          <w:rFonts w:ascii="Arial" w:hAnsi="Arial" w:cs="Arial"/>
          <w:sz w:val="20"/>
        </w:rPr>
      </w:pPr>
      <w:hyperlink r:id="rId15" w:history="1">
        <w:r w:rsidR="00B546B3" w:rsidRPr="002741AF">
          <w:rPr>
            <w:rStyle w:val="Hyperlink"/>
            <w:sz w:val="20"/>
          </w:rPr>
          <w:t>Know Your Client and Risk Assessment – Entity  </w:t>
        </w:r>
      </w:hyperlink>
    </w:p>
    <w:p w14:paraId="4C0C5B23" w14:textId="77777777" w:rsidR="00DD2574" w:rsidRPr="00144954" w:rsidRDefault="00DD2574" w:rsidP="007030EE">
      <w:pPr>
        <w:pStyle w:val="ICASBody"/>
      </w:pPr>
    </w:p>
    <w:p w14:paraId="04799376" w14:textId="0A052F77" w:rsidR="00DA171C" w:rsidRPr="00DA171C" w:rsidRDefault="00DA171C" w:rsidP="007528AA">
      <w:pPr>
        <w:pStyle w:val="Heading2"/>
      </w:pPr>
      <w:r w:rsidRPr="34FD072D">
        <w:t>Further information</w:t>
      </w:r>
      <w:r w:rsidR="2A0D2C4D" w:rsidRPr="34FD072D">
        <w:t xml:space="preserve"> and assistance</w:t>
      </w:r>
    </w:p>
    <w:p w14:paraId="09DB4D1F" w14:textId="41C4BEA7" w:rsidR="008A1834" w:rsidRPr="00144954" w:rsidRDefault="2A0D2C4D" w:rsidP="007528AA">
      <w:pPr>
        <w:pStyle w:val="ICASBody"/>
      </w:pPr>
      <w:r w:rsidRPr="34FD072D">
        <w:t xml:space="preserve">Further assistance and information can be obtained from the Practice Support team. You can contact them through the Practice Support section of the </w:t>
      </w:r>
      <w:hyperlink r:id="rId16">
        <w:r w:rsidRPr="007528AA">
          <w:rPr>
            <w:rStyle w:val="Hyperlink"/>
          </w:rPr>
          <w:t>ICAS Technical helpdesk</w:t>
        </w:r>
      </w:hyperlink>
      <w:r w:rsidRPr="34FD072D">
        <w:t>.</w:t>
      </w:r>
    </w:p>
    <w:p w14:paraId="03B1667E" w14:textId="231C7556" w:rsidR="008A1834" w:rsidRDefault="008A1834" w:rsidP="007030EE">
      <w:pPr>
        <w:pStyle w:val="ICASBody"/>
      </w:pPr>
    </w:p>
    <w:p w14:paraId="3B0852E1" w14:textId="77777777" w:rsidR="00805843" w:rsidRPr="00144954" w:rsidRDefault="00805843" w:rsidP="007030EE">
      <w:pPr>
        <w:pStyle w:val="ICASBody"/>
      </w:pPr>
    </w:p>
    <w:p w14:paraId="6A3B0B71" w14:textId="77777777" w:rsidR="00B546B3" w:rsidRDefault="00B546B3" w:rsidP="007030EE">
      <w:pPr>
        <w:pStyle w:val="ICASBody"/>
      </w:pPr>
    </w:p>
    <w:p w14:paraId="4A21B02D" w14:textId="2144C7E6" w:rsidR="00880E84" w:rsidRPr="00805843" w:rsidRDefault="00880E84" w:rsidP="007528AA">
      <w:pPr>
        <w:pStyle w:val="ICASBoxOutHeading"/>
        <w:rPr>
          <w:sz w:val="18"/>
          <w:szCs w:val="18"/>
        </w:rPr>
      </w:pPr>
      <w:r w:rsidRPr="00805843">
        <w:rPr>
          <w:sz w:val="18"/>
          <w:szCs w:val="18"/>
        </w:rPr>
        <w:t>Disclaimer:</w:t>
      </w:r>
    </w:p>
    <w:p w14:paraId="0970923B" w14:textId="77777777" w:rsidR="00880E84" w:rsidRPr="00805843" w:rsidRDefault="00880E84" w:rsidP="00880E84">
      <w:pPr>
        <w:jc w:val="both"/>
        <w:rPr>
          <w:b/>
          <w:bCs/>
          <w:sz w:val="18"/>
          <w:szCs w:val="18"/>
        </w:rPr>
      </w:pPr>
    </w:p>
    <w:p w14:paraId="3EA699C8" w14:textId="3FE00C01" w:rsidR="00880E84" w:rsidRPr="00805843" w:rsidRDefault="00880E84" w:rsidP="007528AA">
      <w:pPr>
        <w:pStyle w:val="ICASBoxOutBody"/>
        <w:rPr>
          <w:sz w:val="18"/>
          <w:szCs w:val="18"/>
        </w:rPr>
      </w:pPr>
      <w:r w:rsidRPr="00805843">
        <w:rPr>
          <w:sz w:val="18"/>
          <w:szCs w:val="18"/>
        </w:rPr>
        <w:t xml:space="preserve">This document has been published by ICAS for information purposes only and ICAS cannot accept responsibility for any person acting or refraining to act as a result of any material contained within this guidance. Recipients should make their own independent evaluation of this information and no action should be taken, solely relying on it. The </w:t>
      </w:r>
      <w:r w:rsidR="006C31CC" w:rsidRPr="00805843">
        <w:rPr>
          <w:sz w:val="18"/>
          <w:szCs w:val="18"/>
        </w:rPr>
        <w:t>document</w:t>
      </w:r>
      <w:r w:rsidRPr="00805843">
        <w:rPr>
          <w:sz w:val="18"/>
          <w:szCs w:val="18"/>
        </w:rPr>
        <w:t xml:space="preserve"> is intended to assist members in the general application of the </w:t>
      </w:r>
      <w:r w:rsidR="006C31CC" w:rsidRPr="00805843">
        <w:rPr>
          <w:sz w:val="18"/>
          <w:szCs w:val="18"/>
        </w:rPr>
        <w:t>subject</w:t>
      </w:r>
      <w:r w:rsidRPr="00805843">
        <w:rPr>
          <w:sz w:val="18"/>
          <w:szCs w:val="18"/>
        </w:rPr>
        <w:t xml:space="preserve">, it is not intended to cover all aspects. </w:t>
      </w:r>
    </w:p>
    <w:p w14:paraId="186657EA" w14:textId="77777777" w:rsidR="00880E84" w:rsidRPr="00805843" w:rsidRDefault="00880E84" w:rsidP="007528AA">
      <w:pPr>
        <w:pStyle w:val="ICASBoxOutBody"/>
        <w:rPr>
          <w:sz w:val="18"/>
          <w:szCs w:val="18"/>
        </w:rPr>
      </w:pPr>
    </w:p>
    <w:p w14:paraId="29475FB6" w14:textId="77777777" w:rsidR="00880E84" w:rsidRPr="00805843" w:rsidRDefault="00880E84" w:rsidP="007528AA">
      <w:pPr>
        <w:pStyle w:val="ICASBoxOutBody"/>
        <w:rPr>
          <w:sz w:val="18"/>
          <w:szCs w:val="18"/>
        </w:rPr>
      </w:pPr>
      <w:r w:rsidRPr="00805843">
        <w:rPr>
          <w:sz w:val="18"/>
          <w:szCs w:val="18"/>
        </w:rPr>
        <w:t>Whilst this information is believed to be reliable, ICAS, its employees and others involved in the production of this information do not provide any representation or warranty (express or implied) of any kind as regards the accuracy or completeness of this information, nor do they accept any responsibility or liability for loss or damage arising in any way from any use made of or reliance placed on this information.</w:t>
      </w:r>
    </w:p>
    <w:p w14:paraId="322F8955" w14:textId="77777777" w:rsidR="00880E84" w:rsidRPr="00805843" w:rsidRDefault="00880E84" w:rsidP="007528AA">
      <w:pPr>
        <w:pStyle w:val="ICASBoxOutBody"/>
        <w:rPr>
          <w:sz w:val="18"/>
          <w:szCs w:val="18"/>
        </w:rPr>
      </w:pPr>
    </w:p>
    <w:p w14:paraId="305F1126" w14:textId="64B44EE7" w:rsidR="00880E84" w:rsidRPr="00805843" w:rsidRDefault="00880E84" w:rsidP="007528AA">
      <w:pPr>
        <w:pStyle w:val="ICASBoxOutBody"/>
        <w:rPr>
          <w:sz w:val="18"/>
          <w:szCs w:val="18"/>
        </w:rPr>
      </w:pPr>
      <w:r w:rsidRPr="00805843">
        <w:rPr>
          <w:sz w:val="18"/>
          <w:szCs w:val="18"/>
        </w:rPr>
        <w:t>All information is believed to be correct at the time of publication.</w:t>
      </w:r>
    </w:p>
    <w:sectPr w:rsidR="00880E84" w:rsidRPr="00805843" w:rsidSect="005B7194">
      <w:headerReference w:type="default" r:id="rId17"/>
      <w:footerReference w:type="default" r:id="rId18"/>
      <w:pgSz w:w="11910" w:h="16850"/>
      <w:pgMar w:top="1400" w:right="1278" w:bottom="1200" w:left="1300" w:header="68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22FDF" w14:textId="77777777" w:rsidR="00EC0253" w:rsidRDefault="00EC0253">
      <w:r>
        <w:separator/>
      </w:r>
    </w:p>
  </w:endnote>
  <w:endnote w:type="continuationSeparator" w:id="0">
    <w:p w14:paraId="15AA60A6" w14:textId="77777777" w:rsidR="00EC0253" w:rsidRDefault="00EC0253">
      <w:r>
        <w:continuationSeparator/>
      </w:r>
    </w:p>
  </w:endnote>
  <w:endnote w:type="continuationNotice" w:id="1">
    <w:p w14:paraId="0796DEB3" w14:textId="77777777" w:rsidR="00EC0253" w:rsidRDefault="00EC0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5BCA7" w14:textId="6C187C3A" w:rsidR="00033FD4" w:rsidRDefault="00033FD4">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CE13D" w14:textId="77777777" w:rsidR="00EC0253" w:rsidRDefault="00EC0253">
      <w:r>
        <w:separator/>
      </w:r>
    </w:p>
  </w:footnote>
  <w:footnote w:type="continuationSeparator" w:id="0">
    <w:p w14:paraId="40B88DEB" w14:textId="77777777" w:rsidR="00EC0253" w:rsidRDefault="00EC0253">
      <w:r>
        <w:continuationSeparator/>
      </w:r>
    </w:p>
  </w:footnote>
  <w:footnote w:type="continuationNotice" w:id="1">
    <w:p w14:paraId="07279F20" w14:textId="77777777" w:rsidR="00EC0253" w:rsidRDefault="00EC0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2A32" w14:textId="10FE47CF" w:rsidR="00DD2889" w:rsidRDefault="005974D3" w:rsidP="002F2969">
    <w:pPr>
      <w:spacing w:line="14" w:lineRule="auto"/>
      <w:jc w:val="right"/>
    </w:pPr>
    <w:r>
      <w:rPr>
        <w:noProof/>
      </w:rPr>
      <w:drawing>
        <wp:anchor distT="0" distB="0" distL="114300" distR="114300" simplePos="0" relativeHeight="251658240" behindDoc="0" locked="0" layoutInCell="1" allowOverlap="1" wp14:anchorId="7E30FA53" wp14:editId="44DA2277">
          <wp:simplePos x="0" y="0"/>
          <wp:positionH relativeFrom="column">
            <wp:posOffset>5099075</wp:posOffset>
          </wp:positionH>
          <wp:positionV relativeFrom="paragraph">
            <wp:posOffset>-346075</wp:posOffset>
          </wp:positionV>
          <wp:extent cx="695325" cy="720116"/>
          <wp:effectExtent l="0" t="0" r="0" b="0"/>
          <wp:wrapNone/>
          <wp:docPr id="2041681626"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81626" name="Picture 2041681626" descr="Icon&#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449" t="312" r="449" b="312"/>
                  <a:stretch/>
                </pic:blipFill>
                <pic:spPr bwMode="auto">
                  <a:xfrm>
                    <a:off x="0" y="0"/>
                    <a:ext cx="695325" cy="720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76E989" w14:textId="59E067E3" w:rsidR="00033FD4" w:rsidRDefault="00033FD4">
    <w:pP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D3730"/>
    <w:multiLevelType w:val="hybridMultilevel"/>
    <w:tmpl w:val="C5D6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629AA"/>
    <w:multiLevelType w:val="hybridMultilevel"/>
    <w:tmpl w:val="04080BB4"/>
    <w:lvl w:ilvl="0" w:tplc="1FB25474">
      <w:start w:val="1"/>
      <w:numFmt w:val="bullet"/>
      <w:pStyle w:val="ICASBulletssecondlevel"/>
      <w:lvlText w:val=""/>
      <w:lvlJc w:val="left"/>
      <w:pPr>
        <w:ind w:left="454" w:hanging="170"/>
      </w:pPr>
      <w:rPr>
        <w:rFonts w:ascii="Symbol" w:hAnsi="Symbol" w:hint="default"/>
        <w:color w:val="58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269AD"/>
    <w:multiLevelType w:val="hybridMultilevel"/>
    <w:tmpl w:val="D3BC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467D3"/>
    <w:multiLevelType w:val="hybridMultilevel"/>
    <w:tmpl w:val="A7B436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465AFB"/>
    <w:multiLevelType w:val="hybridMultilevel"/>
    <w:tmpl w:val="3B4A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6267BC"/>
    <w:multiLevelType w:val="hybridMultilevel"/>
    <w:tmpl w:val="AA3E8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E48AB"/>
    <w:multiLevelType w:val="hybridMultilevel"/>
    <w:tmpl w:val="2668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40AD0"/>
    <w:multiLevelType w:val="hybridMultilevel"/>
    <w:tmpl w:val="60BEB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745B42"/>
    <w:multiLevelType w:val="hybridMultilevel"/>
    <w:tmpl w:val="D6BC6446"/>
    <w:lvl w:ilvl="0" w:tplc="EBF80BFE">
      <w:start w:val="1"/>
      <w:numFmt w:val="bullet"/>
      <w:pStyle w:val="Title"/>
      <w:lvlText w:val=""/>
      <w:lvlJc w:val="left"/>
      <w:pPr>
        <w:ind w:left="720" w:hanging="360"/>
      </w:pPr>
      <w:rPr>
        <w:rFonts w:ascii="Symbol" w:hAnsi="Symbol" w:hint="default"/>
        <w:color w:val="4D46D9"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B67C1C"/>
    <w:multiLevelType w:val="hybridMultilevel"/>
    <w:tmpl w:val="26CE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AB288E"/>
    <w:multiLevelType w:val="hybridMultilevel"/>
    <w:tmpl w:val="125A7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A4EF9"/>
    <w:multiLevelType w:val="hybridMultilevel"/>
    <w:tmpl w:val="125A78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3267B7"/>
    <w:multiLevelType w:val="hybridMultilevel"/>
    <w:tmpl w:val="4568F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554BD7"/>
    <w:multiLevelType w:val="hybridMultilevel"/>
    <w:tmpl w:val="A7B43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6A212E"/>
    <w:multiLevelType w:val="hybridMultilevel"/>
    <w:tmpl w:val="2EB2C97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E325F4"/>
    <w:multiLevelType w:val="hybridMultilevel"/>
    <w:tmpl w:val="8A28CBCC"/>
    <w:lvl w:ilvl="0" w:tplc="E0501802">
      <w:numFmt w:val="bullet"/>
      <w:lvlText w:val=""/>
      <w:lvlJc w:val="left"/>
      <w:pPr>
        <w:ind w:left="838" w:hanging="360"/>
      </w:pPr>
      <w:rPr>
        <w:rFonts w:ascii="Symbol" w:eastAsia="Symbol" w:hAnsi="Symbol" w:cs="Symbol" w:hint="default"/>
        <w:w w:val="99"/>
        <w:sz w:val="20"/>
        <w:szCs w:val="20"/>
        <w:lang w:val="en-US" w:eastAsia="en-US" w:bidi="en-US"/>
      </w:rPr>
    </w:lvl>
    <w:lvl w:ilvl="1" w:tplc="6C86EA34">
      <w:numFmt w:val="bullet"/>
      <w:lvlText w:val="•"/>
      <w:lvlJc w:val="left"/>
      <w:pPr>
        <w:ind w:left="1756" w:hanging="360"/>
      </w:pPr>
      <w:rPr>
        <w:rFonts w:hint="default"/>
        <w:lang w:val="en-US" w:eastAsia="en-US" w:bidi="en-US"/>
      </w:rPr>
    </w:lvl>
    <w:lvl w:ilvl="2" w:tplc="8E9EA608">
      <w:numFmt w:val="bullet"/>
      <w:lvlText w:val="•"/>
      <w:lvlJc w:val="left"/>
      <w:pPr>
        <w:ind w:left="2673" w:hanging="360"/>
      </w:pPr>
      <w:rPr>
        <w:rFonts w:hint="default"/>
        <w:lang w:val="en-US" w:eastAsia="en-US" w:bidi="en-US"/>
      </w:rPr>
    </w:lvl>
    <w:lvl w:ilvl="3" w:tplc="F9FAA308">
      <w:numFmt w:val="bullet"/>
      <w:lvlText w:val="•"/>
      <w:lvlJc w:val="left"/>
      <w:pPr>
        <w:ind w:left="3589" w:hanging="360"/>
      </w:pPr>
      <w:rPr>
        <w:rFonts w:hint="default"/>
        <w:lang w:val="en-US" w:eastAsia="en-US" w:bidi="en-US"/>
      </w:rPr>
    </w:lvl>
    <w:lvl w:ilvl="4" w:tplc="E154172A">
      <w:numFmt w:val="bullet"/>
      <w:lvlText w:val="•"/>
      <w:lvlJc w:val="left"/>
      <w:pPr>
        <w:ind w:left="4506" w:hanging="360"/>
      </w:pPr>
      <w:rPr>
        <w:rFonts w:hint="default"/>
        <w:lang w:val="en-US" w:eastAsia="en-US" w:bidi="en-US"/>
      </w:rPr>
    </w:lvl>
    <w:lvl w:ilvl="5" w:tplc="F9A6D7D6">
      <w:numFmt w:val="bullet"/>
      <w:lvlText w:val="•"/>
      <w:lvlJc w:val="left"/>
      <w:pPr>
        <w:ind w:left="5423" w:hanging="360"/>
      </w:pPr>
      <w:rPr>
        <w:rFonts w:hint="default"/>
        <w:lang w:val="en-US" w:eastAsia="en-US" w:bidi="en-US"/>
      </w:rPr>
    </w:lvl>
    <w:lvl w:ilvl="6" w:tplc="E06C3882">
      <w:numFmt w:val="bullet"/>
      <w:lvlText w:val="•"/>
      <w:lvlJc w:val="left"/>
      <w:pPr>
        <w:ind w:left="6339" w:hanging="360"/>
      </w:pPr>
      <w:rPr>
        <w:rFonts w:hint="default"/>
        <w:lang w:val="en-US" w:eastAsia="en-US" w:bidi="en-US"/>
      </w:rPr>
    </w:lvl>
    <w:lvl w:ilvl="7" w:tplc="25FCAB82">
      <w:numFmt w:val="bullet"/>
      <w:lvlText w:val="•"/>
      <w:lvlJc w:val="left"/>
      <w:pPr>
        <w:ind w:left="7256" w:hanging="360"/>
      </w:pPr>
      <w:rPr>
        <w:rFonts w:hint="default"/>
        <w:lang w:val="en-US" w:eastAsia="en-US" w:bidi="en-US"/>
      </w:rPr>
    </w:lvl>
    <w:lvl w:ilvl="8" w:tplc="2C9CDB8E">
      <w:numFmt w:val="bullet"/>
      <w:lvlText w:val="•"/>
      <w:lvlJc w:val="left"/>
      <w:pPr>
        <w:ind w:left="8173" w:hanging="360"/>
      </w:pPr>
      <w:rPr>
        <w:rFonts w:hint="default"/>
        <w:lang w:val="en-US" w:eastAsia="en-US" w:bidi="en-US"/>
      </w:rPr>
    </w:lvl>
  </w:abstractNum>
  <w:num w:numId="1" w16cid:durableId="69812735">
    <w:abstractNumId w:val="15"/>
  </w:num>
  <w:num w:numId="2" w16cid:durableId="550575268">
    <w:abstractNumId w:val="6"/>
  </w:num>
  <w:num w:numId="3" w16cid:durableId="717045427">
    <w:abstractNumId w:val="2"/>
  </w:num>
  <w:num w:numId="4" w16cid:durableId="1585723784">
    <w:abstractNumId w:val="9"/>
  </w:num>
  <w:num w:numId="5" w16cid:durableId="82067021">
    <w:abstractNumId w:val="7"/>
  </w:num>
  <w:num w:numId="6" w16cid:durableId="165945575">
    <w:abstractNumId w:val="12"/>
  </w:num>
  <w:num w:numId="7" w16cid:durableId="1847281852">
    <w:abstractNumId w:val="1"/>
  </w:num>
  <w:num w:numId="8" w16cid:durableId="508907750">
    <w:abstractNumId w:val="8"/>
  </w:num>
  <w:num w:numId="9" w16cid:durableId="1649897246">
    <w:abstractNumId w:val="8"/>
  </w:num>
  <w:num w:numId="10" w16cid:durableId="736905949">
    <w:abstractNumId w:val="1"/>
  </w:num>
  <w:num w:numId="11" w16cid:durableId="589773708">
    <w:abstractNumId w:val="8"/>
  </w:num>
  <w:num w:numId="12" w16cid:durableId="613291336">
    <w:abstractNumId w:val="1"/>
  </w:num>
  <w:num w:numId="13" w16cid:durableId="1303536545">
    <w:abstractNumId w:val="8"/>
  </w:num>
  <w:num w:numId="14" w16cid:durableId="1727144951">
    <w:abstractNumId w:val="1"/>
  </w:num>
  <w:num w:numId="15" w16cid:durableId="1195383814">
    <w:abstractNumId w:val="8"/>
  </w:num>
  <w:num w:numId="16" w16cid:durableId="944729267">
    <w:abstractNumId w:val="1"/>
  </w:num>
  <w:num w:numId="17" w16cid:durableId="955020128">
    <w:abstractNumId w:val="8"/>
  </w:num>
  <w:num w:numId="18" w16cid:durableId="2096628265">
    <w:abstractNumId w:val="1"/>
  </w:num>
  <w:num w:numId="19" w16cid:durableId="1818573284">
    <w:abstractNumId w:val="8"/>
  </w:num>
  <w:num w:numId="20" w16cid:durableId="655300346">
    <w:abstractNumId w:val="1"/>
  </w:num>
  <w:num w:numId="21" w16cid:durableId="595405445">
    <w:abstractNumId w:val="13"/>
  </w:num>
  <w:num w:numId="22" w16cid:durableId="1433889654">
    <w:abstractNumId w:val="0"/>
  </w:num>
  <w:num w:numId="23" w16cid:durableId="1704674016">
    <w:abstractNumId w:val="5"/>
  </w:num>
  <w:num w:numId="24" w16cid:durableId="1298024970">
    <w:abstractNumId w:val="4"/>
  </w:num>
  <w:num w:numId="25" w16cid:durableId="2127505298">
    <w:abstractNumId w:val="10"/>
  </w:num>
  <w:num w:numId="26" w16cid:durableId="1541699297">
    <w:abstractNumId w:val="11"/>
  </w:num>
  <w:num w:numId="27" w16cid:durableId="1357467713">
    <w:abstractNumId w:val="3"/>
  </w:num>
  <w:num w:numId="28" w16cid:durableId="12811106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033FD4"/>
    <w:rsid w:val="00005787"/>
    <w:rsid w:val="000111C7"/>
    <w:rsid w:val="00033FD4"/>
    <w:rsid w:val="000754B7"/>
    <w:rsid w:val="000A71F3"/>
    <w:rsid w:val="000D4804"/>
    <w:rsid w:val="00144954"/>
    <w:rsid w:val="00151B0D"/>
    <w:rsid w:val="00175A0F"/>
    <w:rsid w:val="001876A2"/>
    <w:rsid w:val="001D6B1D"/>
    <w:rsid w:val="00211A1E"/>
    <w:rsid w:val="002264DD"/>
    <w:rsid w:val="00266934"/>
    <w:rsid w:val="002A30D1"/>
    <w:rsid w:val="002A4EC1"/>
    <w:rsid w:val="002B14E5"/>
    <w:rsid w:val="002F2969"/>
    <w:rsid w:val="002F4D50"/>
    <w:rsid w:val="00315D0A"/>
    <w:rsid w:val="00352C3B"/>
    <w:rsid w:val="00354F94"/>
    <w:rsid w:val="00387E3E"/>
    <w:rsid w:val="003A2568"/>
    <w:rsid w:val="003B0D60"/>
    <w:rsid w:val="003F692B"/>
    <w:rsid w:val="0040042F"/>
    <w:rsid w:val="004253F7"/>
    <w:rsid w:val="00497684"/>
    <w:rsid w:val="004A0A4C"/>
    <w:rsid w:val="004B3FA6"/>
    <w:rsid w:val="004E24BF"/>
    <w:rsid w:val="00513E0A"/>
    <w:rsid w:val="00527ACC"/>
    <w:rsid w:val="005649F1"/>
    <w:rsid w:val="00594704"/>
    <w:rsid w:val="005974D3"/>
    <w:rsid w:val="005A3DA8"/>
    <w:rsid w:val="005B7194"/>
    <w:rsid w:val="00630C90"/>
    <w:rsid w:val="00655812"/>
    <w:rsid w:val="006805F2"/>
    <w:rsid w:val="00693495"/>
    <w:rsid w:val="006975EF"/>
    <w:rsid w:val="006C31CC"/>
    <w:rsid w:val="007030EE"/>
    <w:rsid w:val="007135AE"/>
    <w:rsid w:val="0071428D"/>
    <w:rsid w:val="00741BFA"/>
    <w:rsid w:val="007528AA"/>
    <w:rsid w:val="00774407"/>
    <w:rsid w:val="007D4DB7"/>
    <w:rsid w:val="007E1F14"/>
    <w:rsid w:val="007F5847"/>
    <w:rsid w:val="00805843"/>
    <w:rsid w:val="0081360F"/>
    <w:rsid w:val="0086363A"/>
    <w:rsid w:val="008668A6"/>
    <w:rsid w:val="00875B84"/>
    <w:rsid w:val="00880BFF"/>
    <w:rsid w:val="00880E84"/>
    <w:rsid w:val="008816DD"/>
    <w:rsid w:val="00893A74"/>
    <w:rsid w:val="008A1834"/>
    <w:rsid w:val="008B0BE9"/>
    <w:rsid w:val="008B6590"/>
    <w:rsid w:val="008B6F1C"/>
    <w:rsid w:val="008C07FE"/>
    <w:rsid w:val="008D247B"/>
    <w:rsid w:val="008D7706"/>
    <w:rsid w:val="008E3A39"/>
    <w:rsid w:val="00905897"/>
    <w:rsid w:val="009058C2"/>
    <w:rsid w:val="00917FF7"/>
    <w:rsid w:val="009401B9"/>
    <w:rsid w:val="00953667"/>
    <w:rsid w:val="00992253"/>
    <w:rsid w:val="00993816"/>
    <w:rsid w:val="009F2E5C"/>
    <w:rsid w:val="00A0454C"/>
    <w:rsid w:val="00A34019"/>
    <w:rsid w:val="00A4051D"/>
    <w:rsid w:val="00A42F9D"/>
    <w:rsid w:val="00A5653A"/>
    <w:rsid w:val="00AF52AD"/>
    <w:rsid w:val="00B07B21"/>
    <w:rsid w:val="00B3154B"/>
    <w:rsid w:val="00B41B69"/>
    <w:rsid w:val="00B546B3"/>
    <w:rsid w:val="00B56370"/>
    <w:rsid w:val="00C11C24"/>
    <w:rsid w:val="00C46860"/>
    <w:rsid w:val="00C72BDE"/>
    <w:rsid w:val="00C7339B"/>
    <w:rsid w:val="00C92259"/>
    <w:rsid w:val="00D16A92"/>
    <w:rsid w:val="00D30911"/>
    <w:rsid w:val="00D35792"/>
    <w:rsid w:val="00D550D6"/>
    <w:rsid w:val="00D82195"/>
    <w:rsid w:val="00D9480E"/>
    <w:rsid w:val="00DA016D"/>
    <w:rsid w:val="00DA171C"/>
    <w:rsid w:val="00DA240C"/>
    <w:rsid w:val="00DA6BB9"/>
    <w:rsid w:val="00DD2574"/>
    <w:rsid w:val="00DD2889"/>
    <w:rsid w:val="00E27747"/>
    <w:rsid w:val="00E45B8C"/>
    <w:rsid w:val="00E54F96"/>
    <w:rsid w:val="00E86477"/>
    <w:rsid w:val="00EC0253"/>
    <w:rsid w:val="00EE1D2B"/>
    <w:rsid w:val="00EE5AFD"/>
    <w:rsid w:val="00EF2278"/>
    <w:rsid w:val="00EF7854"/>
    <w:rsid w:val="00F0788B"/>
    <w:rsid w:val="00F10A6C"/>
    <w:rsid w:val="00F25663"/>
    <w:rsid w:val="00F26CF6"/>
    <w:rsid w:val="00F531D0"/>
    <w:rsid w:val="00F54412"/>
    <w:rsid w:val="00F56E2E"/>
    <w:rsid w:val="00F72F76"/>
    <w:rsid w:val="00FA681A"/>
    <w:rsid w:val="00FE0CFB"/>
    <w:rsid w:val="2A0D2C4D"/>
    <w:rsid w:val="34FD072D"/>
    <w:rsid w:val="68DB2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0B15B"/>
  <w15:docId w15:val="{9CC4832D-870A-4344-B24C-01C71E75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92"/>
  </w:style>
  <w:style w:type="paragraph" w:styleId="Heading1">
    <w:name w:val="heading 1"/>
    <w:aliases w:val="ICAS | Heading"/>
    <w:basedOn w:val="Normal"/>
    <w:next w:val="Normal"/>
    <w:link w:val="Heading1Char"/>
    <w:uiPriority w:val="9"/>
    <w:qFormat/>
    <w:rsid w:val="00D35792"/>
    <w:pPr>
      <w:spacing w:after="280"/>
      <w:outlineLvl w:val="0"/>
    </w:pPr>
    <w:rPr>
      <w:rFonts w:ascii="Arial" w:hAnsi="Arial" w:cs="Arial"/>
      <w:color w:val="4D46D9" w:themeColor="text2"/>
      <w:sz w:val="40"/>
      <w:szCs w:val="40"/>
    </w:rPr>
  </w:style>
  <w:style w:type="paragraph" w:styleId="Heading2">
    <w:name w:val="heading 2"/>
    <w:aliases w:val="ICAS | Subhead 2"/>
    <w:basedOn w:val="Normal"/>
    <w:next w:val="Normal"/>
    <w:link w:val="Heading2Char"/>
    <w:uiPriority w:val="9"/>
    <w:unhideWhenUsed/>
    <w:qFormat/>
    <w:rsid w:val="00D35792"/>
    <w:pPr>
      <w:spacing w:after="100"/>
      <w:outlineLvl w:val="1"/>
    </w:pPr>
    <w:rPr>
      <w:rFonts w:ascii="Arial" w:hAnsi="Arial" w:cs="Arial"/>
      <w:b/>
      <w:bCs/>
      <w:color w:val="000000"/>
      <w:sz w:val="28"/>
      <w:szCs w:val="28"/>
    </w:rPr>
  </w:style>
  <w:style w:type="paragraph" w:styleId="Heading3">
    <w:name w:val="heading 3"/>
    <w:basedOn w:val="Normal"/>
    <w:next w:val="Normal"/>
    <w:link w:val="Heading3Char"/>
    <w:uiPriority w:val="9"/>
    <w:unhideWhenUsed/>
    <w:qFormat/>
    <w:rsid w:val="00805843"/>
    <w:pPr>
      <w:keepNext/>
      <w:keepLines/>
      <w:spacing w:before="40" w:after="120"/>
      <w:outlineLvl w:val="2"/>
    </w:pPr>
    <w:rPr>
      <w:rFonts w:asciiTheme="majorHAnsi" w:eastAsiaTheme="majorEastAsia" w:hAnsiTheme="majorHAnsi" w:cstheme="majorBidi"/>
      <w:color w:val="3D485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8AA"/>
    <w:pPr>
      <w:tabs>
        <w:tab w:val="center" w:pos="4513"/>
        <w:tab w:val="right" w:pos="9026"/>
      </w:tabs>
    </w:pPr>
  </w:style>
  <w:style w:type="character" w:customStyle="1" w:styleId="FooterChar">
    <w:name w:val="Footer Char"/>
    <w:basedOn w:val="DefaultParagraphFont"/>
    <w:link w:val="Footer"/>
    <w:uiPriority w:val="99"/>
    <w:rsid w:val="007528AA"/>
    <w:rPr>
      <w:sz w:val="24"/>
      <w:szCs w:val="24"/>
      <w:lang w:val="en-GB" w:eastAsia="en-GB"/>
    </w:rPr>
  </w:style>
  <w:style w:type="paragraph" w:styleId="Header">
    <w:name w:val="header"/>
    <w:aliases w:val="ICAS | Table Heading"/>
    <w:basedOn w:val="Normal"/>
    <w:link w:val="HeaderChar"/>
    <w:uiPriority w:val="99"/>
    <w:unhideWhenUsed/>
    <w:rsid w:val="007528AA"/>
    <w:rPr>
      <w:rFonts w:ascii="Arial" w:hAnsi="Arial" w:cs="Arial"/>
      <w:b/>
      <w:bCs/>
      <w:color w:val="FFFFFF" w:themeColor="background1"/>
      <w:sz w:val="20"/>
      <w:szCs w:val="20"/>
    </w:rPr>
  </w:style>
  <w:style w:type="character" w:customStyle="1" w:styleId="HeaderChar">
    <w:name w:val="Header Char"/>
    <w:aliases w:val="ICAS | Table Heading Char"/>
    <w:basedOn w:val="DefaultParagraphFont"/>
    <w:link w:val="Header"/>
    <w:uiPriority w:val="99"/>
    <w:rsid w:val="007528AA"/>
    <w:rPr>
      <w:rFonts w:ascii="Arial" w:hAnsi="Arial" w:cs="Arial"/>
      <w:b/>
      <w:bCs/>
      <w:color w:val="FFFFFF" w:themeColor="background1"/>
      <w:sz w:val="20"/>
      <w:szCs w:val="20"/>
      <w:lang w:val="en-GB" w:eastAsia="en-GB"/>
    </w:rPr>
  </w:style>
  <w:style w:type="character" w:customStyle="1" w:styleId="Heading1Char">
    <w:name w:val="Heading 1 Char"/>
    <w:aliases w:val="ICAS | Heading Char"/>
    <w:basedOn w:val="DefaultParagraphFont"/>
    <w:link w:val="Heading1"/>
    <w:uiPriority w:val="9"/>
    <w:rsid w:val="00D35792"/>
    <w:rPr>
      <w:rFonts w:ascii="Arial" w:hAnsi="Arial" w:cs="Arial"/>
      <w:color w:val="4D46D9" w:themeColor="text2"/>
      <w:sz w:val="40"/>
      <w:szCs w:val="40"/>
    </w:rPr>
  </w:style>
  <w:style w:type="character" w:customStyle="1" w:styleId="Heading2Char">
    <w:name w:val="Heading 2 Char"/>
    <w:aliases w:val="ICAS | Subhead 2 Char"/>
    <w:basedOn w:val="DefaultParagraphFont"/>
    <w:link w:val="Heading2"/>
    <w:uiPriority w:val="9"/>
    <w:rsid w:val="00D35792"/>
    <w:rPr>
      <w:rFonts w:ascii="Arial" w:hAnsi="Arial" w:cs="Arial"/>
      <w:b/>
      <w:bCs/>
      <w:color w:val="000000"/>
      <w:sz w:val="28"/>
      <w:szCs w:val="28"/>
    </w:rPr>
  </w:style>
  <w:style w:type="character" w:customStyle="1" w:styleId="Heading3Char">
    <w:name w:val="Heading 3 Char"/>
    <w:basedOn w:val="DefaultParagraphFont"/>
    <w:link w:val="Heading3"/>
    <w:uiPriority w:val="9"/>
    <w:rsid w:val="00805843"/>
    <w:rPr>
      <w:rFonts w:asciiTheme="majorHAnsi" w:eastAsiaTheme="majorEastAsia" w:hAnsiTheme="majorHAnsi" w:cstheme="majorBidi"/>
      <w:color w:val="3D4857" w:themeColor="accent1" w:themeShade="7F"/>
    </w:rPr>
  </w:style>
  <w:style w:type="character" w:styleId="Hyperlink">
    <w:name w:val="Hyperlink"/>
    <w:basedOn w:val="DefaultParagraphFont"/>
    <w:uiPriority w:val="99"/>
    <w:unhideWhenUsed/>
    <w:rsid w:val="007528AA"/>
    <w:rPr>
      <w:color w:val="000000"/>
      <w:u w:val="single"/>
    </w:rPr>
  </w:style>
  <w:style w:type="paragraph" w:styleId="NoSpacing">
    <w:name w:val="No Spacing"/>
    <w:aliases w:val="ICAS | Body Copy"/>
    <w:basedOn w:val="Normal"/>
    <w:link w:val="NoSpacingChar"/>
    <w:uiPriority w:val="1"/>
    <w:qFormat/>
    <w:rsid w:val="00D35792"/>
    <w:rPr>
      <w:rFonts w:ascii="Arial" w:hAnsi="Arial" w:cs="Arial"/>
      <w:color w:val="000000"/>
      <w:sz w:val="20"/>
      <w:szCs w:val="20"/>
    </w:rPr>
  </w:style>
  <w:style w:type="character" w:customStyle="1" w:styleId="NoSpacingChar">
    <w:name w:val="No Spacing Char"/>
    <w:aliases w:val="ICAS | Body Copy Char"/>
    <w:basedOn w:val="DefaultParagraphFont"/>
    <w:link w:val="NoSpacing"/>
    <w:uiPriority w:val="1"/>
    <w:rsid w:val="00D35792"/>
    <w:rPr>
      <w:rFonts w:ascii="Arial" w:hAnsi="Arial" w:cs="Arial"/>
      <w:color w:val="000000"/>
      <w:sz w:val="20"/>
      <w:szCs w:val="20"/>
    </w:rPr>
  </w:style>
  <w:style w:type="paragraph" w:customStyle="1" w:styleId="ICASBody">
    <w:name w:val="ICAS | Body"/>
    <w:basedOn w:val="NoSpacing"/>
    <w:qFormat/>
    <w:rsid w:val="00D35792"/>
    <w:pPr>
      <w:spacing w:after="240"/>
    </w:pPr>
  </w:style>
  <w:style w:type="paragraph" w:customStyle="1" w:styleId="ICASBoxOutBody">
    <w:name w:val="ICAS | Box Out Body"/>
    <w:basedOn w:val="Normal"/>
    <w:qFormat/>
    <w:rsid w:val="00D35792"/>
    <w:rPr>
      <w:color w:val="2B3841" w:themeColor="text1"/>
      <w:sz w:val="20"/>
      <w:szCs w:val="20"/>
    </w:rPr>
  </w:style>
  <w:style w:type="paragraph" w:customStyle="1" w:styleId="ICASBoxOutHeading">
    <w:name w:val="ICAS | Box Out Heading"/>
    <w:basedOn w:val="Normal"/>
    <w:qFormat/>
    <w:rsid w:val="00D35792"/>
    <w:rPr>
      <w:b/>
      <w:bCs/>
      <w:color w:val="2B3841" w:themeColor="text1"/>
      <w:sz w:val="20"/>
      <w:szCs w:val="20"/>
    </w:rPr>
  </w:style>
  <w:style w:type="paragraph" w:customStyle="1" w:styleId="ICASBulletssecondlevel">
    <w:name w:val="ICAS | Bullets – second level"/>
    <w:basedOn w:val="Normal"/>
    <w:qFormat/>
    <w:rsid w:val="00D35792"/>
    <w:pPr>
      <w:numPr>
        <w:numId w:val="20"/>
      </w:numPr>
      <w:spacing w:after="86" w:line="276" w:lineRule="auto"/>
      <w:contextualSpacing/>
    </w:pPr>
    <w:rPr>
      <w:rFonts w:ascii="Arial" w:hAnsi="Arial" w:cs="Arial"/>
      <w:color w:val="000000"/>
      <w:sz w:val="20"/>
      <w:szCs w:val="20"/>
    </w:rPr>
  </w:style>
  <w:style w:type="paragraph" w:customStyle="1" w:styleId="ICASCoverHeadingWhite">
    <w:name w:val="ICAS | Cover Heading – White"/>
    <w:basedOn w:val="Normal"/>
    <w:qFormat/>
    <w:rsid w:val="00D35792"/>
    <w:pPr>
      <w:snapToGrid w:val="0"/>
    </w:pPr>
    <w:rPr>
      <w:rFonts w:ascii="Arial" w:hAnsi="Arial" w:cs="Arial"/>
      <w:b/>
      <w:bCs/>
      <w:color w:val="FFFFFF" w:themeColor="background1"/>
      <w:sz w:val="124"/>
      <w:szCs w:val="124"/>
    </w:rPr>
  </w:style>
  <w:style w:type="paragraph" w:customStyle="1" w:styleId="ICASDateBlack">
    <w:name w:val="ICAS | Date – Black"/>
    <w:basedOn w:val="Normal"/>
    <w:qFormat/>
    <w:rsid w:val="00D35792"/>
    <w:pPr>
      <w:spacing w:line="276" w:lineRule="auto"/>
    </w:pPr>
    <w:rPr>
      <w:sz w:val="28"/>
      <w:szCs w:val="28"/>
    </w:rPr>
  </w:style>
  <w:style w:type="paragraph" w:customStyle="1" w:styleId="ICASDateWhite">
    <w:name w:val="ICAS | Date – White"/>
    <w:basedOn w:val="Normal"/>
    <w:qFormat/>
    <w:rsid w:val="00D35792"/>
    <w:pPr>
      <w:spacing w:line="276" w:lineRule="auto"/>
    </w:pPr>
    <w:rPr>
      <w:color w:val="FFFFFF" w:themeColor="background1"/>
      <w:sz w:val="28"/>
      <w:szCs w:val="28"/>
    </w:rPr>
  </w:style>
  <w:style w:type="paragraph" w:customStyle="1" w:styleId="ICASQuote">
    <w:name w:val="ICAS | Quote"/>
    <w:basedOn w:val="Normal"/>
    <w:qFormat/>
    <w:rsid w:val="00D35792"/>
    <w:pPr>
      <w:spacing w:before="128" w:after="255" w:line="276" w:lineRule="auto"/>
      <w:ind w:left="128"/>
    </w:pPr>
    <w:rPr>
      <w:rFonts w:ascii="Arial" w:hAnsi="Arial" w:cs="Arial"/>
      <w:i/>
      <w:iCs/>
      <w:color w:val="2B3841" w:themeColor="text1"/>
      <w:sz w:val="20"/>
      <w:szCs w:val="20"/>
    </w:rPr>
  </w:style>
  <w:style w:type="paragraph" w:customStyle="1" w:styleId="ICASTableContent">
    <w:name w:val="ICAS | Table Content"/>
    <w:basedOn w:val="Normal"/>
    <w:qFormat/>
    <w:rsid w:val="00D35792"/>
    <w:rPr>
      <w:rFonts w:ascii="Arial" w:hAnsi="Arial" w:cs="Arial"/>
      <w:sz w:val="20"/>
      <w:szCs w:val="20"/>
    </w:rPr>
  </w:style>
  <w:style w:type="table" w:customStyle="1" w:styleId="ICASTableHeading">
    <w:name w:val="ICAS | Table Heading"/>
    <w:basedOn w:val="TableNormal"/>
    <w:uiPriority w:val="99"/>
    <w:rsid w:val="007528AA"/>
    <w:tblPr/>
  </w:style>
  <w:style w:type="paragraph" w:customStyle="1" w:styleId="ICASCoverHeadingBlack">
    <w:name w:val="ICAS | Cover Heading – Black"/>
    <w:basedOn w:val="Normal"/>
    <w:qFormat/>
    <w:rsid w:val="00D35792"/>
    <w:pPr>
      <w:snapToGrid w:val="0"/>
    </w:pPr>
    <w:rPr>
      <w:rFonts w:ascii="Arial" w:hAnsi="Arial" w:cs="Arial"/>
      <w:b/>
      <w:bCs/>
      <w:sz w:val="124"/>
      <w:szCs w:val="124"/>
    </w:rPr>
  </w:style>
  <w:style w:type="paragraph" w:customStyle="1" w:styleId="ICASPageNumber">
    <w:name w:val="ICAS | Page Number"/>
    <w:basedOn w:val="Footer"/>
    <w:qFormat/>
    <w:rsid w:val="00D35792"/>
    <w:pPr>
      <w:framePr w:wrap="none" w:vAnchor="text" w:hAnchor="margin" w:xAlign="right" w:y="1"/>
    </w:pPr>
    <w:rPr>
      <w:color w:val="000000"/>
      <w:sz w:val="20"/>
      <w:szCs w:val="20"/>
    </w:rPr>
  </w:style>
  <w:style w:type="paragraph" w:customStyle="1" w:styleId="ICASSubhead1">
    <w:name w:val="ICAS | Subhead 1"/>
    <w:basedOn w:val="Heading2"/>
    <w:qFormat/>
    <w:rsid w:val="00D35792"/>
    <w:pPr>
      <w:spacing w:after="280"/>
    </w:pPr>
  </w:style>
  <w:style w:type="character" w:styleId="PageNumber">
    <w:name w:val="page number"/>
    <w:basedOn w:val="DefaultParagraphFont"/>
    <w:uiPriority w:val="99"/>
    <w:semiHidden/>
    <w:unhideWhenUsed/>
    <w:rsid w:val="007528AA"/>
  </w:style>
  <w:style w:type="table" w:styleId="TableGrid">
    <w:name w:val="Table Grid"/>
    <w:basedOn w:val="TableNormal"/>
    <w:rsid w:val="00752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ICAS | Bullets – first level"/>
    <w:basedOn w:val="Normal"/>
    <w:next w:val="Normal"/>
    <w:link w:val="TitleChar"/>
    <w:uiPriority w:val="10"/>
    <w:qFormat/>
    <w:rsid w:val="00D35792"/>
    <w:pPr>
      <w:numPr>
        <w:numId w:val="19"/>
      </w:numPr>
      <w:contextualSpacing/>
    </w:pPr>
    <w:rPr>
      <w:rFonts w:ascii="Arial" w:hAnsi="Arial" w:cs="Arial"/>
      <w:sz w:val="20"/>
      <w:szCs w:val="20"/>
    </w:rPr>
  </w:style>
  <w:style w:type="character" w:customStyle="1" w:styleId="TitleChar">
    <w:name w:val="Title Char"/>
    <w:aliases w:val="ICAS | Bullets – first level Char"/>
    <w:basedOn w:val="DefaultParagraphFont"/>
    <w:link w:val="Title"/>
    <w:uiPriority w:val="10"/>
    <w:rsid w:val="00D35792"/>
    <w:rPr>
      <w:rFonts w:ascii="Arial" w:hAnsi="Arial" w:cs="Arial"/>
      <w:sz w:val="20"/>
      <w:szCs w:val="20"/>
    </w:rPr>
  </w:style>
  <w:style w:type="character" w:styleId="UnresolvedMention">
    <w:name w:val="Unresolved Mention"/>
    <w:basedOn w:val="DefaultParagraphFont"/>
    <w:uiPriority w:val="99"/>
    <w:semiHidden/>
    <w:unhideWhenUsed/>
    <w:rsid w:val="007528AA"/>
    <w:rPr>
      <w:color w:val="605E5C"/>
      <w:shd w:val="clear" w:color="auto" w:fill="E1DFDD"/>
    </w:rPr>
  </w:style>
  <w:style w:type="paragraph" w:styleId="ListParagraph">
    <w:name w:val="List Paragraph"/>
    <w:basedOn w:val="Normal"/>
    <w:uiPriority w:val="34"/>
    <w:qFormat/>
    <w:rsid w:val="00993816"/>
    <w:pPr>
      <w:ind w:left="720"/>
      <w:contextualSpacing/>
    </w:pPr>
    <w:rPr>
      <w:rFonts w:ascii="Garamond" w:eastAsia="Times New Roman" w:hAnsi="Garamond" w:cs="Times New Roman"/>
      <w:szCs w:val="20"/>
    </w:rPr>
  </w:style>
  <w:style w:type="character" w:styleId="Emphasis">
    <w:name w:val="Emphasis"/>
    <w:basedOn w:val="DefaultParagraphFont"/>
    <w:qFormat/>
    <w:rsid w:val="00F72F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cas.com/contact-us/icas-technical-helpde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cab.org.uk/anti-money-laundering-and-counter-terrorist-financing-guidance-for-the-accountancy-sector-202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cas.com/contact-us/icas-technical-helpde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as.com/professional-resources/practice/knowledge-centre/general-practice-manual" TargetMode="External"/><Relationship Id="rId5" Type="http://schemas.openxmlformats.org/officeDocument/2006/relationships/styles" Target="styles.xml"/><Relationship Id="rId15" Type="http://schemas.openxmlformats.org/officeDocument/2006/relationships/hyperlink" Target="https://www.icas.com/__data/assets/word_doc/0007/574819/AML-KYC-and-Risk-Assessment-Entity.docx" TargetMode="External"/><Relationship Id="rId10" Type="http://schemas.openxmlformats.org/officeDocument/2006/relationships/hyperlink" Target="https://www.icas.com/professional-resources/practice/knowledge-centre/general-practice-manua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cas.com/__data/assets/word_doc/0008/574820/AML-KYC-and-Risk-Assessment-Individual.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S">
  <a:themeElements>
    <a:clrScheme name="ICAS">
      <a:dk1>
        <a:srgbClr val="2B3841"/>
      </a:dk1>
      <a:lt1>
        <a:srgbClr val="FFFFFF"/>
      </a:lt1>
      <a:dk2>
        <a:srgbClr val="4D46D9"/>
      </a:dk2>
      <a:lt2>
        <a:srgbClr val="FFFFFF"/>
      </a:lt2>
      <a:accent1>
        <a:srgbClr val="8393A8"/>
      </a:accent1>
      <a:accent2>
        <a:srgbClr val="22B9D5"/>
      </a:accent2>
      <a:accent3>
        <a:srgbClr val="F88D2A"/>
      </a:accent3>
      <a:accent4>
        <a:srgbClr val="555C64"/>
      </a:accent4>
      <a:accent5>
        <a:srgbClr val="4D46D9"/>
      </a:accent5>
      <a:accent6>
        <a:srgbClr val="4D46D9"/>
      </a:accent6>
      <a:hlink>
        <a:srgbClr val="2B3841"/>
      </a:hlink>
      <a:folHlink>
        <a:srgbClr val="2B3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S_Master" id="{452D8136-E7D2-9E4E-AB4E-031F0DB37ADC}" vid="{35AAC066-4BC9-2948-A53F-DA8E50D9B3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8" ma:contentTypeDescription="Create a new document." ma:contentTypeScope="" ma:versionID="ade4d830e73fc0ed3a69f1cd0e36ac68">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0e8af8a3c7fbb037519acd8f55bc4552"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26e4d1-0851-40eb-a194-209cd149f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13671-d92f-47df-bb15-d71d68a1a928}" ma:internalName="TaxCatchAll" ma:showField="CatchAllData" ma:web="52d05684-39aa-4c0d-8cff-5e0cc80d8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2d05684-39aa-4c0d-8cff-5e0cc80d847a">
      <UserInfo>
        <DisplayName>Kenneth Oliver</DisplayName>
        <AccountId>51</AccountId>
        <AccountType/>
      </UserInfo>
      <UserInfo>
        <DisplayName>Kate Neilson</DisplayName>
        <AccountId>45</AccountId>
        <AccountType/>
      </UserInfo>
    </SharedWithUsers>
    <lcf76f155ced4ddcb4097134ff3c332f xmlns="607b35c9-358c-4a12-8b61-a6ae96df6ef5">
      <Terms xmlns="http://schemas.microsoft.com/office/infopath/2007/PartnerControls"/>
    </lcf76f155ced4ddcb4097134ff3c332f>
    <TaxCatchAll xmlns="52d05684-39aa-4c0d-8cff-5e0cc80d84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DFF2F-FCA3-421D-9A9D-97844EFEB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9AA8D-D5B8-403F-AE54-FB405F1E3150}">
  <ds:schemaRefs>
    <ds:schemaRef ds:uri="http://schemas.microsoft.com/office/2006/metadata/properties"/>
    <ds:schemaRef ds:uri="http://schemas.microsoft.com/office/infopath/2007/PartnerControls"/>
    <ds:schemaRef ds:uri="52d05684-39aa-4c0d-8cff-5e0cc80d847a"/>
    <ds:schemaRef ds:uri="607b35c9-358c-4a12-8b61-a6ae96df6ef5"/>
  </ds:schemaRefs>
</ds:datastoreItem>
</file>

<file path=customXml/itemProps3.xml><?xml version="1.0" encoding="utf-8"?>
<ds:datastoreItem xmlns:ds="http://schemas.openxmlformats.org/officeDocument/2006/customXml" ds:itemID="{A9153BDE-3A59-4CFD-8DF1-5A400FC34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1817</Words>
  <Characters>10363</Characters>
  <Application>Microsoft Office Word</Application>
  <DocSecurity>4</DocSecurity>
  <Lines>86</Lines>
  <Paragraphs>24</Paragraphs>
  <ScaleCrop>false</ScaleCrop>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Byrne</dc:creator>
  <cp:keywords/>
  <cp:lastModifiedBy>David Menzies</cp:lastModifiedBy>
  <cp:revision>33</cp:revision>
  <dcterms:created xsi:type="dcterms:W3CDTF">2024-07-09T23:04:00Z</dcterms:created>
  <dcterms:modified xsi:type="dcterms:W3CDTF">2024-07-10T21:42:00Z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for Office 365</vt:lpwstr>
  </property>
  <property fmtid="{D5CDD505-2E9C-101B-9397-08002B2CF9AE}" pid="4" name="LastSaved">
    <vt:filetime>2020-08-05T00:00:00Z</vt:filetime>
  </property>
  <property fmtid="{D5CDD505-2E9C-101B-9397-08002B2CF9AE}" pid="5" name="ContentTypeId">
    <vt:lpwstr>0x010100B358CB58330DE6489439988E1A6A5EBB</vt:lpwstr>
  </property>
  <property fmtid="{D5CDD505-2E9C-101B-9397-08002B2CF9AE}" pid="6" name="MediaServiceImageTags">
    <vt:lpwstr/>
  </property>
</Properties>
</file>