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B9EEF" w14:textId="1AC6883D" w:rsidR="00490785" w:rsidRPr="007F0DD1" w:rsidRDefault="006B3EAA" w:rsidP="00490785">
      <w:pPr>
        <w:rPr>
          <w:b/>
          <w:bCs/>
          <w:sz w:val="24"/>
          <w:szCs w:val="24"/>
        </w:rPr>
      </w:pPr>
      <w:r w:rsidRPr="007F0DD1">
        <w:rPr>
          <w:b/>
          <w:bCs/>
          <w:sz w:val="24"/>
          <w:szCs w:val="24"/>
        </w:rPr>
        <w:t xml:space="preserve">Specimen </w:t>
      </w:r>
      <w:r w:rsidR="003616EA">
        <w:rPr>
          <w:b/>
          <w:bCs/>
          <w:sz w:val="24"/>
          <w:szCs w:val="24"/>
        </w:rPr>
        <w:t xml:space="preserve">enquiry </w:t>
      </w:r>
      <w:r w:rsidRPr="007F0DD1">
        <w:rPr>
          <w:b/>
          <w:bCs/>
          <w:sz w:val="24"/>
          <w:szCs w:val="24"/>
        </w:rPr>
        <w:t>l</w:t>
      </w:r>
      <w:r w:rsidR="00490785" w:rsidRPr="007F0DD1">
        <w:rPr>
          <w:b/>
          <w:bCs/>
          <w:sz w:val="24"/>
          <w:szCs w:val="24"/>
        </w:rPr>
        <w:t xml:space="preserve">etter to </w:t>
      </w:r>
      <w:r w:rsidR="007A0DCA">
        <w:rPr>
          <w:b/>
          <w:bCs/>
          <w:sz w:val="24"/>
          <w:szCs w:val="24"/>
        </w:rPr>
        <w:t xml:space="preserve">the </w:t>
      </w:r>
      <w:r w:rsidR="007A0DCA" w:rsidRPr="007A0DCA">
        <w:rPr>
          <w:b/>
          <w:bCs/>
          <w:sz w:val="24"/>
          <w:szCs w:val="24"/>
        </w:rPr>
        <w:t>existing or predecessor accountant or professional adviser</w:t>
      </w:r>
    </w:p>
    <w:p w14:paraId="6CDCA550" w14:textId="31CB5F78" w:rsidR="006B3EAA" w:rsidRPr="0077163B" w:rsidRDefault="000279C4" w:rsidP="00490785">
      <w:pPr>
        <w:rPr>
          <w:i/>
          <w:iCs/>
        </w:rPr>
      </w:pPr>
      <w:r w:rsidRPr="0077163B">
        <w:rPr>
          <w:i/>
          <w:iCs/>
          <w:highlight w:val="yellow"/>
        </w:rPr>
        <w:t>Highlighted text should be deleted prior to sending the letter.</w:t>
      </w:r>
    </w:p>
    <w:p w14:paraId="23766686" w14:textId="77777777" w:rsidR="00D76598" w:rsidRPr="001320BB" w:rsidRDefault="00D76598" w:rsidP="00D76598">
      <w:pPr>
        <w:pStyle w:val="BodyText"/>
        <w:rPr>
          <w:rFonts w:cs="Arial"/>
        </w:rPr>
      </w:pPr>
    </w:p>
    <w:p w14:paraId="1047F0E8" w14:textId="77777777" w:rsidR="00D76598" w:rsidRPr="001320BB" w:rsidRDefault="00D76598" w:rsidP="00D76598">
      <w:pPr>
        <w:pStyle w:val="BodyText"/>
        <w:rPr>
          <w:rFonts w:cs="Arial"/>
        </w:rPr>
      </w:pPr>
      <w:r w:rsidRPr="001320BB">
        <w:rPr>
          <w:rFonts w:cs="Arial"/>
        </w:rPr>
        <w:t xml:space="preserve">Dear </w:t>
      </w:r>
    </w:p>
    <w:sdt>
      <w:sdtPr>
        <w:rPr>
          <w:rFonts w:cs="Arial"/>
        </w:rPr>
        <w:alias w:val="Clients name"/>
        <w:tag w:val="Clients name"/>
        <w:id w:val="-599727451"/>
        <w:placeholder>
          <w:docPart w:val="4D70E97089B7455DB707CDA5A3475D0E"/>
        </w:placeholder>
        <w:showingPlcHdr/>
      </w:sdtPr>
      <w:sdtEndPr/>
      <w:sdtContent>
        <w:p w14:paraId="63DCA4C6" w14:textId="17B9060A" w:rsidR="00F660B6" w:rsidRDefault="00F660B6" w:rsidP="00D76598">
          <w:pPr>
            <w:pStyle w:val="BodyText"/>
            <w:rPr>
              <w:rFonts w:cs="Arial"/>
            </w:rPr>
          </w:pPr>
          <w:r w:rsidRPr="00BF6702">
            <w:rPr>
              <w:rStyle w:val="PlaceholderText"/>
              <w:b/>
              <w:bCs/>
            </w:rPr>
            <w:t>Click or tap here to enter text.</w:t>
          </w:r>
        </w:p>
      </w:sdtContent>
    </w:sdt>
    <w:p w14:paraId="7F60E53E" w14:textId="0F75EE49" w:rsidR="00D76598" w:rsidRDefault="00D76598" w:rsidP="00D76598">
      <w:pPr>
        <w:pStyle w:val="BodyText"/>
        <w:rPr>
          <w:rFonts w:cs="Arial"/>
        </w:rPr>
      </w:pPr>
      <w:r w:rsidRPr="001320BB">
        <w:rPr>
          <w:rFonts w:cs="Arial"/>
        </w:rPr>
        <w:t xml:space="preserve">We have recently been approached by the above to act </w:t>
      </w:r>
      <w:r w:rsidR="00E56F31">
        <w:rPr>
          <w:rFonts w:cs="Arial"/>
        </w:rPr>
        <w:t xml:space="preserve">as professional accountants </w:t>
      </w:r>
      <w:r w:rsidR="00CE6C09">
        <w:rPr>
          <w:rFonts w:cs="Arial"/>
        </w:rPr>
        <w:t xml:space="preserve">on </w:t>
      </w:r>
      <w:r w:rsidR="003C7BB6">
        <w:rPr>
          <w:rFonts w:cs="Arial"/>
        </w:rPr>
        <w:t xml:space="preserve">their </w:t>
      </w:r>
      <w:r w:rsidR="00CE6C09">
        <w:rPr>
          <w:rFonts w:cs="Arial"/>
        </w:rPr>
        <w:t>behalf</w:t>
      </w:r>
      <w:r w:rsidR="0085680E">
        <w:rPr>
          <w:rFonts w:cs="Arial"/>
        </w:rPr>
        <w:t xml:space="preserve"> in respect of the undernoted services</w:t>
      </w:r>
      <w:r w:rsidR="00CE6C09">
        <w:rPr>
          <w:rFonts w:cs="Arial"/>
        </w:rPr>
        <w:t xml:space="preserve"> </w:t>
      </w:r>
      <w:r w:rsidRPr="001320BB">
        <w:rPr>
          <w:rFonts w:cs="Arial"/>
        </w:rPr>
        <w:t>for the period</w:t>
      </w:r>
      <w:r w:rsidR="00747DF8">
        <w:rPr>
          <w:rFonts w:cs="Arial"/>
        </w:rPr>
        <w:t>s</w:t>
      </w:r>
      <w:r w:rsidRPr="001320BB">
        <w:rPr>
          <w:rFonts w:cs="Arial"/>
        </w:rPr>
        <w:t xml:space="preserve"> ended</w:t>
      </w:r>
      <w:r w:rsidR="00747DF8">
        <w:rPr>
          <w:rFonts w:cs="Arial"/>
        </w:rPr>
        <w:t xml:space="preserve"> indicated </w:t>
      </w:r>
      <w:r w:rsidRPr="001320BB">
        <w:rPr>
          <w:rFonts w:cs="Arial"/>
        </w:rPr>
        <w:t>and thereafter</w:t>
      </w:r>
      <w:r w:rsidR="00747DF8">
        <w:rPr>
          <w:rFonts w:cs="Arial"/>
        </w:rPr>
        <w:t>:</w:t>
      </w:r>
    </w:p>
    <w:p w14:paraId="6AEE63E6" w14:textId="5335A916" w:rsidR="0010062A" w:rsidRDefault="0010062A" w:rsidP="00D76598">
      <w:pPr>
        <w:pStyle w:val="BodyText"/>
        <w:rPr>
          <w:rFonts w:cs="Arial"/>
        </w:rPr>
      </w:pPr>
      <w:r>
        <w:rPr>
          <w:rFonts w:cs="Arial"/>
        </w:rPr>
        <w:t>[</w:t>
      </w:r>
      <w:r w:rsidR="00966F1F" w:rsidRPr="006C1E53">
        <w:rPr>
          <w:rFonts w:cs="Arial"/>
          <w:i/>
          <w:iCs/>
          <w:highlight w:val="yellow"/>
        </w:rPr>
        <w:t>Delete/amend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F6A28" w14:paraId="54DC450C" w14:textId="77777777" w:rsidTr="006C1E53">
        <w:tc>
          <w:tcPr>
            <w:tcW w:w="4814" w:type="dxa"/>
          </w:tcPr>
          <w:p w14:paraId="2590635B" w14:textId="1BCFB580" w:rsidR="008F6A28" w:rsidRPr="006C1E53" w:rsidRDefault="008F6A28" w:rsidP="00D76598">
            <w:pPr>
              <w:pStyle w:val="BodyText"/>
              <w:rPr>
                <w:rFonts w:cs="Arial"/>
                <w:b/>
                <w:bCs/>
              </w:rPr>
            </w:pPr>
            <w:r w:rsidRPr="006C1E53">
              <w:rPr>
                <w:rFonts w:cs="Arial"/>
                <w:b/>
                <w:bCs/>
              </w:rPr>
              <w:t>Service</w:t>
            </w:r>
          </w:p>
        </w:tc>
        <w:tc>
          <w:tcPr>
            <w:tcW w:w="4815" w:type="dxa"/>
          </w:tcPr>
          <w:p w14:paraId="2F4067D6" w14:textId="3A43161A" w:rsidR="008F6A28" w:rsidRPr="006C1E53" w:rsidRDefault="0010062A" w:rsidP="00D76598">
            <w:pPr>
              <w:pStyle w:val="BodyText"/>
              <w:rPr>
                <w:rFonts w:cs="Arial"/>
                <w:b/>
                <w:bCs/>
              </w:rPr>
            </w:pPr>
            <w:r w:rsidRPr="006C1E53">
              <w:rPr>
                <w:rFonts w:cs="Arial"/>
                <w:b/>
                <w:bCs/>
              </w:rPr>
              <w:t>P</w:t>
            </w:r>
            <w:r w:rsidR="00E73FB0" w:rsidRPr="006C1E53">
              <w:rPr>
                <w:rFonts w:cs="Arial"/>
                <w:b/>
                <w:bCs/>
              </w:rPr>
              <w:t>eriod ended</w:t>
            </w:r>
          </w:p>
        </w:tc>
      </w:tr>
      <w:tr w:rsidR="008F6A28" w14:paraId="772D050F" w14:textId="77777777" w:rsidTr="006C1E53">
        <w:tc>
          <w:tcPr>
            <w:tcW w:w="4814" w:type="dxa"/>
          </w:tcPr>
          <w:p w14:paraId="2151C211" w14:textId="3AB3A409" w:rsidR="008F6A28" w:rsidRDefault="0010062A" w:rsidP="00D76598">
            <w:pPr>
              <w:pStyle w:val="BodyText"/>
              <w:rPr>
                <w:rFonts w:cs="Arial"/>
              </w:rPr>
            </w:pPr>
            <w:r>
              <w:rPr>
                <w:rFonts w:cs="Arial"/>
              </w:rPr>
              <w:t>Account</w:t>
            </w:r>
            <w:r w:rsidR="0002353E">
              <w:rPr>
                <w:rFonts w:cs="Arial"/>
              </w:rPr>
              <w:t>s compliance</w:t>
            </w:r>
          </w:p>
        </w:tc>
        <w:sdt>
          <w:sdtPr>
            <w:rPr>
              <w:rFonts w:cs="Arial"/>
            </w:rPr>
            <w:id w:val="-1253042141"/>
            <w:placeholder>
              <w:docPart w:val="DefaultPlaceholder_-1854013437"/>
            </w:placeholder>
            <w:showingPlcHdr/>
            <w:date>
              <w:dateFormat w:val="dd/MM/yyyy"/>
              <w:lid w:val="en-GB"/>
              <w:storeMappedDataAs w:val="dateTime"/>
              <w:calendar w:val="gregorian"/>
            </w:date>
          </w:sdtPr>
          <w:sdtEndPr/>
          <w:sdtContent>
            <w:tc>
              <w:tcPr>
                <w:tcW w:w="4815" w:type="dxa"/>
              </w:tcPr>
              <w:p w14:paraId="588EBE72" w14:textId="1C582109" w:rsidR="008F6A28" w:rsidRDefault="00F57CC7" w:rsidP="00D76598">
                <w:pPr>
                  <w:pStyle w:val="BodyText"/>
                  <w:rPr>
                    <w:rFonts w:cs="Arial"/>
                  </w:rPr>
                </w:pPr>
                <w:r w:rsidRPr="006C273A">
                  <w:rPr>
                    <w:rStyle w:val="PlaceholderText"/>
                  </w:rPr>
                  <w:t>Click or tap to enter a date.</w:t>
                </w:r>
              </w:p>
            </w:tc>
          </w:sdtContent>
        </w:sdt>
      </w:tr>
      <w:tr w:rsidR="008F6A28" w14:paraId="3224C886" w14:textId="77777777" w:rsidTr="006C1E53">
        <w:tc>
          <w:tcPr>
            <w:tcW w:w="4814" w:type="dxa"/>
          </w:tcPr>
          <w:p w14:paraId="15281500" w14:textId="6DCDA010" w:rsidR="008F6A28" w:rsidRDefault="00D11EA5" w:rsidP="00D76598">
            <w:pPr>
              <w:pStyle w:val="BodyText"/>
              <w:rPr>
                <w:rFonts w:cs="Arial"/>
              </w:rPr>
            </w:pPr>
            <w:r>
              <w:rPr>
                <w:rFonts w:cs="Arial"/>
              </w:rPr>
              <w:t>Cloud accounting</w:t>
            </w:r>
            <w:r w:rsidR="0002353E">
              <w:rPr>
                <w:rFonts w:cs="Arial"/>
              </w:rPr>
              <w:t>/book-keeping</w:t>
            </w:r>
          </w:p>
        </w:tc>
        <w:sdt>
          <w:sdtPr>
            <w:rPr>
              <w:rFonts w:cs="Arial"/>
            </w:rPr>
            <w:id w:val="-1832902988"/>
            <w:placeholder>
              <w:docPart w:val="DefaultPlaceholder_-1854013437"/>
            </w:placeholder>
            <w:showingPlcHdr/>
            <w:date>
              <w:dateFormat w:val="dd/MM/yyyy"/>
              <w:lid w:val="en-GB"/>
              <w:storeMappedDataAs w:val="dateTime"/>
              <w:calendar w:val="gregorian"/>
            </w:date>
          </w:sdtPr>
          <w:sdtEndPr/>
          <w:sdtContent>
            <w:tc>
              <w:tcPr>
                <w:tcW w:w="4815" w:type="dxa"/>
              </w:tcPr>
              <w:p w14:paraId="3DBA60EA" w14:textId="0F118701" w:rsidR="008F6A28" w:rsidRDefault="00F57CC7" w:rsidP="00D76598">
                <w:pPr>
                  <w:pStyle w:val="BodyText"/>
                  <w:rPr>
                    <w:rFonts w:cs="Arial"/>
                  </w:rPr>
                </w:pPr>
                <w:r w:rsidRPr="006C273A">
                  <w:rPr>
                    <w:rStyle w:val="PlaceholderText"/>
                  </w:rPr>
                  <w:t>Click or tap to enter a date.</w:t>
                </w:r>
              </w:p>
            </w:tc>
          </w:sdtContent>
        </w:sdt>
      </w:tr>
      <w:tr w:rsidR="00D11EA5" w14:paraId="39C3F62B" w14:textId="77777777" w:rsidTr="006C1E53">
        <w:tc>
          <w:tcPr>
            <w:tcW w:w="4814" w:type="dxa"/>
          </w:tcPr>
          <w:p w14:paraId="231E13DC" w14:textId="02047BC2" w:rsidR="00D11EA5" w:rsidRDefault="00D11EA5" w:rsidP="00D76598">
            <w:pPr>
              <w:pStyle w:val="BodyText"/>
              <w:rPr>
                <w:rFonts w:cs="Arial"/>
              </w:rPr>
            </w:pPr>
            <w:r>
              <w:rPr>
                <w:rFonts w:cs="Arial"/>
              </w:rPr>
              <w:t>Personal tax compliance</w:t>
            </w:r>
          </w:p>
        </w:tc>
        <w:sdt>
          <w:sdtPr>
            <w:rPr>
              <w:rFonts w:cs="Arial"/>
            </w:rPr>
            <w:id w:val="537331280"/>
            <w:placeholder>
              <w:docPart w:val="DefaultPlaceholder_-1854013437"/>
            </w:placeholder>
            <w:showingPlcHdr/>
            <w:date>
              <w:dateFormat w:val="dd/MM/yyyy"/>
              <w:lid w:val="en-GB"/>
              <w:storeMappedDataAs w:val="dateTime"/>
              <w:calendar w:val="gregorian"/>
            </w:date>
          </w:sdtPr>
          <w:sdtEndPr/>
          <w:sdtContent>
            <w:tc>
              <w:tcPr>
                <w:tcW w:w="4815" w:type="dxa"/>
              </w:tcPr>
              <w:p w14:paraId="53ECAD5F" w14:textId="43C4D7D3" w:rsidR="00D11EA5" w:rsidRDefault="00F57CC7" w:rsidP="00D76598">
                <w:pPr>
                  <w:pStyle w:val="BodyText"/>
                  <w:rPr>
                    <w:rFonts w:cs="Arial"/>
                  </w:rPr>
                </w:pPr>
                <w:r w:rsidRPr="006C273A">
                  <w:rPr>
                    <w:rStyle w:val="PlaceholderText"/>
                  </w:rPr>
                  <w:t>Click or tap to enter a date.</w:t>
                </w:r>
              </w:p>
            </w:tc>
          </w:sdtContent>
        </w:sdt>
      </w:tr>
      <w:tr w:rsidR="000D1276" w14:paraId="1B6EB072" w14:textId="77777777" w:rsidTr="006C1E53">
        <w:tc>
          <w:tcPr>
            <w:tcW w:w="4814" w:type="dxa"/>
          </w:tcPr>
          <w:p w14:paraId="25EB16CA" w14:textId="50322F58" w:rsidR="000D1276" w:rsidRDefault="000D1276" w:rsidP="00D76598">
            <w:pPr>
              <w:pStyle w:val="BodyText"/>
              <w:rPr>
                <w:rFonts w:cs="Arial"/>
              </w:rPr>
            </w:pPr>
            <w:r>
              <w:rPr>
                <w:rFonts w:cs="Arial"/>
              </w:rPr>
              <w:t>Partnership tax</w:t>
            </w:r>
          </w:p>
        </w:tc>
        <w:sdt>
          <w:sdtPr>
            <w:rPr>
              <w:rFonts w:cs="Arial"/>
            </w:rPr>
            <w:id w:val="823406491"/>
            <w:placeholder>
              <w:docPart w:val="DefaultPlaceholder_-1854013437"/>
            </w:placeholder>
            <w:showingPlcHdr/>
            <w:date>
              <w:dateFormat w:val="dd/MM/yyyy"/>
              <w:lid w:val="en-GB"/>
              <w:storeMappedDataAs w:val="dateTime"/>
              <w:calendar w:val="gregorian"/>
            </w:date>
          </w:sdtPr>
          <w:sdtEndPr/>
          <w:sdtContent>
            <w:tc>
              <w:tcPr>
                <w:tcW w:w="4815" w:type="dxa"/>
              </w:tcPr>
              <w:p w14:paraId="46D60445" w14:textId="4BD3681D" w:rsidR="000D1276" w:rsidRDefault="00F57CC7" w:rsidP="00D76598">
                <w:pPr>
                  <w:pStyle w:val="BodyText"/>
                  <w:rPr>
                    <w:rFonts w:cs="Arial"/>
                  </w:rPr>
                </w:pPr>
                <w:r w:rsidRPr="006C273A">
                  <w:rPr>
                    <w:rStyle w:val="PlaceholderText"/>
                  </w:rPr>
                  <w:t>Click or tap to enter a date.</w:t>
                </w:r>
              </w:p>
            </w:tc>
          </w:sdtContent>
        </w:sdt>
      </w:tr>
      <w:tr w:rsidR="008F6A28" w14:paraId="05FC038E" w14:textId="77777777" w:rsidTr="006C1E53">
        <w:tc>
          <w:tcPr>
            <w:tcW w:w="4814" w:type="dxa"/>
          </w:tcPr>
          <w:p w14:paraId="482D9C83" w14:textId="2358202C" w:rsidR="008F6A28" w:rsidRDefault="000D1276" w:rsidP="00D76598">
            <w:pPr>
              <w:pStyle w:val="BodyText"/>
              <w:rPr>
                <w:rFonts w:cs="Arial"/>
              </w:rPr>
            </w:pPr>
            <w:r>
              <w:rPr>
                <w:rFonts w:cs="Arial"/>
              </w:rPr>
              <w:t xml:space="preserve">Corporate tax compliance </w:t>
            </w:r>
          </w:p>
        </w:tc>
        <w:sdt>
          <w:sdtPr>
            <w:rPr>
              <w:rFonts w:cs="Arial"/>
            </w:rPr>
            <w:id w:val="-231547198"/>
            <w:placeholder>
              <w:docPart w:val="DefaultPlaceholder_-1854013437"/>
            </w:placeholder>
            <w:showingPlcHdr/>
            <w:date>
              <w:dateFormat w:val="dd/MM/yyyy"/>
              <w:lid w:val="en-GB"/>
              <w:storeMappedDataAs w:val="dateTime"/>
              <w:calendar w:val="gregorian"/>
            </w:date>
          </w:sdtPr>
          <w:sdtEndPr/>
          <w:sdtContent>
            <w:tc>
              <w:tcPr>
                <w:tcW w:w="4815" w:type="dxa"/>
              </w:tcPr>
              <w:p w14:paraId="18DA33A5" w14:textId="10C3A030" w:rsidR="008F6A28" w:rsidRDefault="00F57CC7" w:rsidP="00D76598">
                <w:pPr>
                  <w:pStyle w:val="BodyText"/>
                  <w:rPr>
                    <w:rFonts w:cs="Arial"/>
                  </w:rPr>
                </w:pPr>
                <w:r w:rsidRPr="006C273A">
                  <w:rPr>
                    <w:rStyle w:val="PlaceholderText"/>
                  </w:rPr>
                  <w:t>Click or tap to enter a date.</w:t>
                </w:r>
              </w:p>
            </w:tc>
          </w:sdtContent>
        </w:sdt>
      </w:tr>
      <w:tr w:rsidR="008F6A28" w14:paraId="5D74E2A6" w14:textId="77777777" w:rsidTr="006C1E53">
        <w:tc>
          <w:tcPr>
            <w:tcW w:w="4814" w:type="dxa"/>
          </w:tcPr>
          <w:p w14:paraId="3021246C" w14:textId="33E8A75B" w:rsidR="008F6A28" w:rsidRDefault="000D1276" w:rsidP="00D76598">
            <w:pPr>
              <w:pStyle w:val="BodyText"/>
              <w:rPr>
                <w:rFonts w:cs="Arial"/>
              </w:rPr>
            </w:pPr>
            <w:r>
              <w:rPr>
                <w:rFonts w:cs="Arial"/>
              </w:rPr>
              <w:t>Payroll</w:t>
            </w:r>
          </w:p>
        </w:tc>
        <w:sdt>
          <w:sdtPr>
            <w:rPr>
              <w:rFonts w:cs="Arial"/>
            </w:rPr>
            <w:id w:val="1594436526"/>
            <w:placeholder>
              <w:docPart w:val="DefaultPlaceholder_-1854013437"/>
            </w:placeholder>
            <w:showingPlcHdr/>
            <w:date>
              <w:dateFormat w:val="dd/MM/yyyy"/>
              <w:lid w:val="en-GB"/>
              <w:storeMappedDataAs w:val="dateTime"/>
              <w:calendar w:val="gregorian"/>
            </w:date>
          </w:sdtPr>
          <w:sdtEndPr/>
          <w:sdtContent>
            <w:tc>
              <w:tcPr>
                <w:tcW w:w="4815" w:type="dxa"/>
              </w:tcPr>
              <w:p w14:paraId="027F01CE" w14:textId="79D31EFD" w:rsidR="008F6A28" w:rsidRDefault="00F57CC7" w:rsidP="00D76598">
                <w:pPr>
                  <w:pStyle w:val="BodyText"/>
                  <w:rPr>
                    <w:rFonts w:cs="Arial"/>
                  </w:rPr>
                </w:pPr>
                <w:r w:rsidRPr="006C273A">
                  <w:rPr>
                    <w:rStyle w:val="PlaceholderText"/>
                  </w:rPr>
                  <w:t>Click or tap to enter a date.</w:t>
                </w:r>
              </w:p>
            </w:tc>
          </w:sdtContent>
        </w:sdt>
      </w:tr>
      <w:tr w:rsidR="008F6A28" w14:paraId="596DEE31" w14:textId="77777777" w:rsidTr="006C1E53">
        <w:tc>
          <w:tcPr>
            <w:tcW w:w="4814" w:type="dxa"/>
          </w:tcPr>
          <w:p w14:paraId="6827D797" w14:textId="284B7DBE" w:rsidR="008F6A28" w:rsidRDefault="000D1276" w:rsidP="00D76598">
            <w:pPr>
              <w:pStyle w:val="BodyText"/>
              <w:rPr>
                <w:rFonts w:cs="Arial"/>
              </w:rPr>
            </w:pPr>
            <w:r>
              <w:rPr>
                <w:rFonts w:cs="Arial"/>
              </w:rPr>
              <w:t>VAT compliance</w:t>
            </w:r>
          </w:p>
        </w:tc>
        <w:sdt>
          <w:sdtPr>
            <w:rPr>
              <w:rFonts w:cs="Arial"/>
            </w:rPr>
            <w:id w:val="382687646"/>
            <w:placeholder>
              <w:docPart w:val="DefaultPlaceholder_-1854013437"/>
            </w:placeholder>
            <w:showingPlcHdr/>
            <w:date>
              <w:dateFormat w:val="dd/MM/yyyy"/>
              <w:lid w:val="en-GB"/>
              <w:storeMappedDataAs w:val="dateTime"/>
              <w:calendar w:val="gregorian"/>
            </w:date>
          </w:sdtPr>
          <w:sdtEndPr/>
          <w:sdtContent>
            <w:tc>
              <w:tcPr>
                <w:tcW w:w="4815" w:type="dxa"/>
              </w:tcPr>
              <w:p w14:paraId="5B86B22A" w14:textId="27F70198" w:rsidR="008F6A28" w:rsidRDefault="00F57CC7" w:rsidP="00D76598">
                <w:pPr>
                  <w:pStyle w:val="BodyText"/>
                  <w:rPr>
                    <w:rFonts w:cs="Arial"/>
                  </w:rPr>
                </w:pPr>
                <w:r w:rsidRPr="006C273A">
                  <w:rPr>
                    <w:rStyle w:val="PlaceholderText"/>
                  </w:rPr>
                  <w:t>Click or tap to enter a date.</w:t>
                </w:r>
              </w:p>
            </w:tc>
          </w:sdtContent>
        </w:sdt>
      </w:tr>
      <w:tr w:rsidR="00D11EA5" w14:paraId="58AE54B0" w14:textId="77777777" w:rsidTr="006C1E53">
        <w:tc>
          <w:tcPr>
            <w:tcW w:w="4814" w:type="dxa"/>
          </w:tcPr>
          <w:p w14:paraId="2C97C279" w14:textId="26C31197" w:rsidR="00D11EA5" w:rsidRDefault="008B5DE5" w:rsidP="00D76598">
            <w:pPr>
              <w:pStyle w:val="BodyText"/>
              <w:rPr>
                <w:rFonts w:cs="Arial"/>
              </w:rPr>
            </w:pPr>
            <w:r>
              <w:rPr>
                <w:rFonts w:cs="Arial"/>
              </w:rPr>
              <w:t>General professional advice</w:t>
            </w:r>
            <w:r w:rsidR="002675CF">
              <w:rPr>
                <w:rFonts w:cs="Arial"/>
              </w:rPr>
              <w:t xml:space="preserve"> required on an </w:t>
            </w:r>
            <w:proofErr w:type="spellStart"/>
            <w:r w:rsidR="002675CF">
              <w:rPr>
                <w:rFonts w:cs="Arial"/>
              </w:rPr>
              <w:t>adhoc</w:t>
            </w:r>
            <w:proofErr w:type="spellEnd"/>
            <w:r w:rsidR="002675CF">
              <w:rPr>
                <w:rFonts w:cs="Arial"/>
              </w:rPr>
              <w:t xml:space="preserve"> basis</w:t>
            </w:r>
          </w:p>
        </w:tc>
        <w:tc>
          <w:tcPr>
            <w:tcW w:w="4815" w:type="dxa"/>
          </w:tcPr>
          <w:p w14:paraId="550C6C94" w14:textId="74D75C9D" w:rsidR="00D11EA5" w:rsidRDefault="00D11EA5" w:rsidP="00D76598">
            <w:pPr>
              <w:pStyle w:val="BodyText"/>
              <w:rPr>
                <w:rFonts w:cs="Arial"/>
              </w:rPr>
            </w:pPr>
          </w:p>
        </w:tc>
      </w:tr>
    </w:tbl>
    <w:p w14:paraId="4352756D" w14:textId="137D6F25" w:rsidR="00747DF8" w:rsidRDefault="0010062A" w:rsidP="00D76598">
      <w:pPr>
        <w:pStyle w:val="BodyText"/>
        <w:rPr>
          <w:rFonts w:cs="Arial"/>
        </w:rPr>
      </w:pPr>
      <w:r>
        <w:rPr>
          <w:rFonts w:cs="Arial"/>
        </w:rPr>
        <w:t>]</w:t>
      </w:r>
    </w:p>
    <w:p w14:paraId="434782C5" w14:textId="527FD512" w:rsidR="00D76598" w:rsidRPr="001320BB" w:rsidRDefault="00D76598" w:rsidP="00D76598">
      <w:pPr>
        <w:pStyle w:val="BodyText"/>
        <w:rPr>
          <w:rFonts w:cs="Arial"/>
        </w:rPr>
      </w:pPr>
      <w:r w:rsidRPr="67D4A506">
        <w:rPr>
          <w:rFonts w:cs="Arial"/>
        </w:rPr>
        <w:t xml:space="preserve">Please could you provide details of any circumstances or information which you have knowledge of, which </w:t>
      </w:r>
      <w:r w:rsidR="00B92BA1" w:rsidRPr="67D4A506">
        <w:rPr>
          <w:rFonts w:cs="Arial"/>
        </w:rPr>
        <w:t>in your opinion</w:t>
      </w:r>
      <w:r w:rsidR="00673CC0" w:rsidRPr="67D4A506">
        <w:rPr>
          <w:rFonts w:cs="Arial"/>
        </w:rPr>
        <w:t>,</w:t>
      </w:r>
      <w:r w:rsidR="00B92BA1" w:rsidRPr="67D4A506">
        <w:rPr>
          <w:rFonts w:cs="Arial"/>
        </w:rPr>
        <w:t xml:space="preserve"> </w:t>
      </w:r>
      <w:r w:rsidRPr="67D4A506">
        <w:rPr>
          <w:rFonts w:cs="Arial"/>
        </w:rPr>
        <w:t>we need to consider in deciding whether to formally accept this appointment.</w:t>
      </w:r>
    </w:p>
    <w:p w14:paraId="0177AD27" w14:textId="04730E27" w:rsidR="005E10EB" w:rsidRDefault="00D76598" w:rsidP="00D76598">
      <w:pPr>
        <w:pStyle w:val="BodyText"/>
        <w:rPr>
          <w:rFonts w:cs="Arial"/>
        </w:rPr>
      </w:pPr>
      <w:r w:rsidRPr="001320BB">
        <w:rPr>
          <w:rFonts w:cs="Arial"/>
        </w:rPr>
        <w:t xml:space="preserve">If there are no such circumstances that we need to be aware of, please </w:t>
      </w:r>
      <w:r w:rsidR="005A04ED">
        <w:rPr>
          <w:rFonts w:cs="Arial"/>
        </w:rPr>
        <w:t xml:space="preserve">provide </w:t>
      </w:r>
      <w:r w:rsidRPr="001320BB">
        <w:rPr>
          <w:rFonts w:cs="Arial"/>
        </w:rPr>
        <w:t xml:space="preserve">the information </w:t>
      </w:r>
      <w:r w:rsidR="005E10EB">
        <w:rPr>
          <w:rFonts w:cs="Arial"/>
        </w:rPr>
        <w:t>detailed in the attached schedule</w:t>
      </w:r>
      <w:r w:rsidRPr="001320BB">
        <w:rPr>
          <w:rFonts w:cs="Arial"/>
        </w:rPr>
        <w:t xml:space="preserve">. </w:t>
      </w:r>
    </w:p>
    <w:p w14:paraId="2970942A" w14:textId="4D1CE15D" w:rsidR="00D76598" w:rsidRDefault="00D76598" w:rsidP="00D76598">
      <w:pPr>
        <w:pStyle w:val="BodyText"/>
        <w:rPr>
          <w:rFonts w:cs="Arial"/>
        </w:rPr>
      </w:pPr>
      <w:r w:rsidRPr="001320BB">
        <w:rPr>
          <w:rFonts w:cs="Arial"/>
        </w:rPr>
        <w:t>We enclose authorisation from the above confirming you may release the requested information to us.</w:t>
      </w:r>
    </w:p>
    <w:p w14:paraId="67FE81C0" w14:textId="2390C8C6" w:rsidR="00C459D0" w:rsidRPr="001320BB" w:rsidRDefault="0066615E" w:rsidP="00D76598">
      <w:pPr>
        <w:pStyle w:val="BodyText"/>
        <w:rPr>
          <w:rFonts w:cs="Arial"/>
        </w:rPr>
      </w:pPr>
      <w:r>
        <w:rPr>
          <w:rFonts w:cs="Arial"/>
        </w:rPr>
        <w:t>In order to allow</w:t>
      </w:r>
      <w:r w:rsidR="00D2388C">
        <w:rPr>
          <w:rFonts w:cs="Arial"/>
        </w:rPr>
        <w:t xml:space="preserve"> a smooth transition of the client’s affairs, w</w:t>
      </w:r>
      <w:r w:rsidR="005D1BA8">
        <w:rPr>
          <w:rFonts w:cs="Arial"/>
        </w:rPr>
        <w:t xml:space="preserve">e would </w:t>
      </w:r>
      <w:r w:rsidR="00E62717">
        <w:rPr>
          <w:rFonts w:cs="Arial"/>
        </w:rPr>
        <w:t xml:space="preserve">respectfully request </w:t>
      </w:r>
      <w:r w:rsidR="003E18EF">
        <w:rPr>
          <w:rFonts w:cs="Arial"/>
        </w:rPr>
        <w:t>that</w:t>
      </w:r>
      <w:r w:rsidR="00E62717">
        <w:rPr>
          <w:rFonts w:cs="Arial"/>
        </w:rPr>
        <w:t xml:space="preserve"> a</w:t>
      </w:r>
      <w:r w:rsidR="0064105E">
        <w:rPr>
          <w:rFonts w:cs="Arial"/>
        </w:rPr>
        <w:t xml:space="preserve">n initial </w:t>
      </w:r>
      <w:r w:rsidR="00E62717">
        <w:rPr>
          <w:rFonts w:cs="Arial"/>
        </w:rPr>
        <w:t xml:space="preserve">response </w:t>
      </w:r>
      <w:r w:rsidR="0064105E">
        <w:rPr>
          <w:rFonts w:cs="Arial"/>
        </w:rPr>
        <w:t xml:space="preserve">providing </w:t>
      </w:r>
      <w:r w:rsidR="0064105E" w:rsidRPr="001320BB">
        <w:rPr>
          <w:rFonts w:cs="Arial"/>
        </w:rPr>
        <w:t>details of any circumstances or information which you have knowledge of, which we need to consider in deciding whether or not to formally accept this appointment</w:t>
      </w:r>
      <w:r w:rsidR="0000202A">
        <w:rPr>
          <w:rFonts w:cs="Arial"/>
        </w:rPr>
        <w:t xml:space="preserve"> be provided within </w:t>
      </w:r>
      <w:r w:rsidR="00A92448">
        <w:rPr>
          <w:rFonts w:cs="Arial"/>
        </w:rPr>
        <w:t xml:space="preserve">14 days of the date of this letter, with </w:t>
      </w:r>
      <w:r>
        <w:rPr>
          <w:rFonts w:cs="Arial"/>
        </w:rPr>
        <w:t>additional information to follow as soon as possible thereafter</w:t>
      </w:r>
    </w:p>
    <w:p w14:paraId="65F127BD" w14:textId="77777777" w:rsidR="003D6489" w:rsidRDefault="005A04ED" w:rsidP="003D6489">
      <w:pPr>
        <w:spacing w:before="100" w:beforeAutospacing="1" w:after="300"/>
        <w:rPr>
          <w:rFonts w:cs="Arial"/>
          <w:color w:val="000000"/>
          <w:lang w:eastAsia="en-GB"/>
        </w:rPr>
      </w:pPr>
      <w:r w:rsidRPr="005E10EB">
        <w:rPr>
          <w:rFonts w:cs="Arial"/>
          <w:color w:val="000000"/>
          <w:lang w:eastAsia="en-GB"/>
        </w:rPr>
        <w:t xml:space="preserve">If you are holding any records belonging to the </w:t>
      </w:r>
      <w:proofErr w:type="gramStart"/>
      <w:r w:rsidR="00147F14">
        <w:rPr>
          <w:rFonts w:cs="Arial"/>
          <w:color w:val="000000"/>
          <w:lang w:eastAsia="en-GB"/>
        </w:rPr>
        <w:t>client</w:t>
      </w:r>
      <w:proofErr w:type="gramEnd"/>
      <w:r w:rsidRPr="005E10EB">
        <w:rPr>
          <w:rFonts w:cs="Arial"/>
          <w:color w:val="000000"/>
          <w:lang w:eastAsia="en-GB"/>
        </w:rPr>
        <w:t xml:space="preserve"> </w:t>
      </w:r>
      <w:r w:rsidR="000534A0">
        <w:rPr>
          <w:rFonts w:cs="Arial"/>
          <w:color w:val="000000"/>
          <w:lang w:eastAsia="en-GB"/>
        </w:rPr>
        <w:t xml:space="preserve">please </w:t>
      </w:r>
      <w:r w:rsidRPr="005E10EB">
        <w:rPr>
          <w:rFonts w:cs="Arial"/>
          <w:color w:val="000000"/>
          <w:lang w:eastAsia="en-GB"/>
        </w:rPr>
        <w:t>sen</w:t>
      </w:r>
      <w:r w:rsidR="000534A0">
        <w:rPr>
          <w:rFonts w:cs="Arial"/>
          <w:color w:val="000000"/>
          <w:lang w:eastAsia="en-GB"/>
        </w:rPr>
        <w:t>d</w:t>
      </w:r>
      <w:r w:rsidRPr="005E10EB">
        <w:rPr>
          <w:rFonts w:cs="Arial"/>
          <w:color w:val="000000"/>
          <w:lang w:eastAsia="en-GB"/>
        </w:rPr>
        <w:t xml:space="preserve"> </w:t>
      </w:r>
      <w:r w:rsidR="000534A0">
        <w:rPr>
          <w:rFonts w:cs="Arial"/>
          <w:color w:val="000000"/>
          <w:lang w:eastAsia="en-GB"/>
        </w:rPr>
        <w:t xml:space="preserve">these </w:t>
      </w:r>
      <w:sdt>
        <w:sdtPr>
          <w:rPr>
            <w:rFonts w:cs="Arial"/>
            <w:color w:val="000000"/>
            <w:lang w:eastAsia="en-GB"/>
          </w:rPr>
          <w:id w:val="-1933351942"/>
          <w:placeholder>
            <w:docPart w:val="B9C277E7EA8346EA86DBA4F4C318D3D2"/>
          </w:placeholder>
          <w:showingPlcHdr/>
          <w:dropDownList>
            <w:listItem w:value="Choose an item."/>
            <w:listItem w:displayText="directly to the client" w:value="directly to the client"/>
            <w:listItem w:displayText="to us" w:value="to us"/>
          </w:dropDownList>
        </w:sdtPr>
        <w:sdtEndPr/>
        <w:sdtContent>
          <w:r w:rsidR="00F3591E" w:rsidRPr="00BB1F3F">
            <w:rPr>
              <w:rStyle w:val="PlaceholderText"/>
            </w:rPr>
            <w:t>Choose an item.</w:t>
          </w:r>
        </w:sdtContent>
      </w:sdt>
      <w:r w:rsidRPr="005E10EB">
        <w:rPr>
          <w:rFonts w:cs="Arial"/>
          <w:color w:val="000000"/>
          <w:lang w:eastAsia="en-GB"/>
        </w:rPr>
        <w:t xml:space="preserve"> in order that they may be available in the event of a future HMRC enquiry. </w:t>
      </w:r>
    </w:p>
    <w:p w14:paraId="7325980F" w14:textId="3492270F" w:rsidR="00D76598" w:rsidRPr="001320BB" w:rsidRDefault="00D76598" w:rsidP="003D6489">
      <w:pPr>
        <w:spacing w:before="100" w:beforeAutospacing="1" w:after="300"/>
        <w:rPr>
          <w:rFonts w:cs="Arial"/>
        </w:rPr>
      </w:pPr>
      <w:r w:rsidRPr="001320BB">
        <w:rPr>
          <w:rFonts w:cs="Arial"/>
        </w:rPr>
        <w:t>Thank you for your assistance in these matters.</w:t>
      </w:r>
    </w:p>
    <w:p w14:paraId="04477B2D" w14:textId="77777777" w:rsidR="00D76598" w:rsidRPr="001320BB" w:rsidRDefault="00D76598" w:rsidP="00D76598">
      <w:pPr>
        <w:pStyle w:val="BodyText"/>
        <w:rPr>
          <w:rFonts w:cs="Arial"/>
        </w:rPr>
      </w:pPr>
      <w:r w:rsidRPr="001320BB">
        <w:rPr>
          <w:rFonts w:cs="Arial"/>
        </w:rPr>
        <w:t>Yours sincerely</w:t>
      </w:r>
    </w:p>
    <w:p w14:paraId="454D2D69" w14:textId="77777777" w:rsidR="00D76598" w:rsidRPr="001320BB" w:rsidRDefault="00D76598" w:rsidP="00D76598">
      <w:pPr>
        <w:pStyle w:val="BodyText"/>
        <w:rPr>
          <w:rFonts w:cs="Arial"/>
        </w:rPr>
      </w:pPr>
    </w:p>
    <w:p w14:paraId="3A5FBC24" w14:textId="3434DA07" w:rsidR="0009660F" w:rsidRDefault="000279C4" w:rsidP="00490785">
      <w:r w:rsidRPr="007F0DD1">
        <w:t>[</w:t>
      </w:r>
      <w:r w:rsidR="00490785" w:rsidRPr="007F0DD1">
        <w:t>FIRM</w:t>
      </w:r>
      <w:r w:rsidRPr="007F0DD1">
        <w:t>]</w:t>
      </w:r>
    </w:p>
    <w:p w14:paraId="6A9D0F2A" w14:textId="265BA92F" w:rsidR="005A04ED" w:rsidRDefault="005A04ED">
      <w:pPr>
        <w:spacing w:before="0" w:after="0"/>
        <w:jc w:val="left"/>
      </w:pPr>
      <w:r>
        <w:br w:type="page"/>
      </w:r>
    </w:p>
    <w:p w14:paraId="201A052B" w14:textId="25F7CE7E" w:rsidR="00C810CB" w:rsidRDefault="001404F0" w:rsidP="005A04ED">
      <w:pPr>
        <w:pStyle w:val="BodyText"/>
        <w:rPr>
          <w:rFonts w:cs="Arial"/>
          <w:b/>
          <w:bCs/>
        </w:rPr>
      </w:pPr>
      <w:r w:rsidRPr="00C810CB">
        <w:rPr>
          <w:rFonts w:cs="Arial"/>
          <w:b/>
          <w:bCs/>
        </w:rPr>
        <w:lastRenderedPageBreak/>
        <w:t>Schedule of information requested</w:t>
      </w:r>
    </w:p>
    <w:p w14:paraId="2EB973F1" w14:textId="063B90B5" w:rsidR="0016677A" w:rsidRPr="0016677A" w:rsidRDefault="0016677A" w:rsidP="005A04ED">
      <w:pPr>
        <w:pStyle w:val="BodyText"/>
        <w:rPr>
          <w:rFonts w:cs="Arial"/>
          <w:i/>
          <w:iCs/>
        </w:rPr>
      </w:pPr>
      <w:r w:rsidRPr="0016677A">
        <w:rPr>
          <w:rFonts w:cs="Arial"/>
          <w:i/>
          <w:iCs/>
          <w:highlight w:val="yellow"/>
        </w:rPr>
        <w:t xml:space="preserve">Amend </w:t>
      </w:r>
      <w:r>
        <w:rPr>
          <w:rFonts w:cs="Arial"/>
          <w:i/>
          <w:iCs/>
          <w:highlight w:val="yellow"/>
        </w:rPr>
        <w:t xml:space="preserve">the schedule </w:t>
      </w:r>
      <w:r w:rsidRPr="0016677A">
        <w:rPr>
          <w:rFonts w:cs="Arial"/>
          <w:i/>
          <w:iCs/>
          <w:highlight w:val="yellow"/>
        </w:rPr>
        <w:t>as necessary</w:t>
      </w:r>
    </w:p>
    <w:p w14:paraId="4166BC93" w14:textId="115FFAB9" w:rsidR="005A04ED" w:rsidRPr="001320BB" w:rsidRDefault="006772AF" w:rsidP="005A04ED">
      <w:pPr>
        <w:pStyle w:val="BodyText"/>
        <w:rPr>
          <w:rFonts w:cs="Arial"/>
          <w:u w:val="single"/>
        </w:rPr>
      </w:pPr>
      <w:r>
        <w:rPr>
          <w:rFonts w:cs="Arial"/>
          <w:u w:val="single"/>
        </w:rPr>
        <w:t>Accounts</w:t>
      </w:r>
    </w:p>
    <w:p w14:paraId="5E78E0F8" w14:textId="77777777" w:rsidR="007B5339" w:rsidRDefault="007B5339" w:rsidP="007B5339">
      <w:pPr>
        <w:numPr>
          <w:ilvl w:val="0"/>
          <w:numId w:val="8"/>
        </w:numPr>
        <w:spacing w:before="100" w:beforeAutospacing="1" w:after="150"/>
        <w:jc w:val="left"/>
        <w:rPr>
          <w:rFonts w:cs="Arial"/>
          <w:color w:val="000000"/>
          <w:lang w:eastAsia="en-GB"/>
        </w:rPr>
      </w:pPr>
      <w:r>
        <w:rPr>
          <w:rFonts w:cs="Arial"/>
          <w:color w:val="000000"/>
          <w:lang w:eastAsia="en-GB"/>
        </w:rPr>
        <w:t>Latest set of accounts prepared and submitted to HMRC</w:t>
      </w:r>
    </w:p>
    <w:p w14:paraId="58EBB6D1" w14:textId="2F779DD6" w:rsidR="005A04ED" w:rsidRPr="001320BB" w:rsidRDefault="005A04ED" w:rsidP="00F1741A">
      <w:pPr>
        <w:pStyle w:val="BodyText"/>
        <w:numPr>
          <w:ilvl w:val="0"/>
          <w:numId w:val="8"/>
        </w:numPr>
        <w:rPr>
          <w:rFonts w:cs="Arial"/>
        </w:rPr>
      </w:pPr>
      <w:r w:rsidRPr="001320BB">
        <w:rPr>
          <w:rFonts w:cs="Arial"/>
        </w:rPr>
        <w:t>A trial balance to support the latest accounts</w:t>
      </w:r>
    </w:p>
    <w:p w14:paraId="04F9C988" w14:textId="77777777" w:rsidR="00246983" w:rsidRDefault="00246983" w:rsidP="00246983">
      <w:pPr>
        <w:pStyle w:val="BodyText"/>
        <w:numPr>
          <w:ilvl w:val="0"/>
          <w:numId w:val="8"/>
        </w:numPr>
      </w:pPr>
      <w:r>
        <w:t>Any schedules you have giving details of the make-up of items in the last completed accounts, such as:</w:t>
      </w:r>
    </w:p>
    <w:p w14:paraId="7DB5274A" w14:textId="0E98F1A5" w:rsidR="00246983" w:rsidRDefault="00246983" w:rsidP="00655BF0">
      <w:pPr>
        <w:pStyle w:val="BodyText"/>
        <w:numPr>
          <w:ilvl w:val="0"/>
          <w:numId w:val="12"/>
        </w:numPr>
        <w:spacing w:before="0" w:after="0"/>
        <w:ind w:left="1559" w:hanging="425"/>
      </w:pPr>
      <w:r>
        <w:t xml:space="preserve">tangible/intangible fixed </w:t>
      </w:r>
      <w:proofErr w:type="gramStart"/>
      <w:r>
        <w:t>assets;</w:t>
      </w:r>
      <w:proofErr w:type="gramEnd"/>
      <w:r>
        <w:tab/>
      </w:r>
    </w:p>
    <w:p w14:paraId="29B14DA0" w14:textId="6FD9B649" w:rsidR="00246983" w:rsidRDefault="00246983" w:rsidP="00655BF0">
      <w:pPr>
        <w:pStyle w:val="BodyText"/>
        <w:numPr>
          <w:ilvl w:val="0"/>
          <w:numId w:val="12"/>
        </w:numPr>
        <w:spacing w:before="0" w:after="0"/>
        <w:ind w:left="1559" w:hanging="425"/>
      </w:pPr>
      <w:r>
        <w:t xml:space="preserve">stock and work in </w:t>
      </w:r>
      <w:proofErr w:type="gramStart"/>
      <w:r>
        <w:t>progress;</w:t>
      </w:r>
      <w:proofErr w:type="gramEnd"/>
    </w:p>
    <w:p w14:paraId="11FBC3D3" w14:textId="0E3308A8" w:rsidR="00246983" w:rsidRDefault="00246983" w:rsidP="00655BF0">
      <w:pPr>
        <w:pStyle w:val="BodyText"/>
        <w:numPr>
          <w:ilvl w:val="0"/>
          <w:numId w:val="12"/>
        </w:numPr>
        <w:spacing w:before="0" w:after="0"/>
        <w:ind w:left="1559" w:hanging="425"/>
      </w:pPr>
      <w:r>
        <w:t xml:space="preserve">debtors and </w:t>
      </w:r>
      <w:proofErr w:type="gramStart"/>
      <w:r>
        <w:t>prepayments;</w:t>
      </w:r>
      <w:proofErr w:type="gramEnd"/>
    </w:p>
    <w:p w14:paraId="0294412F" w14:textId="628EEFB9" w:rsidR="00246983" w:rsidRDefault="00246983" w:rsidP="00655BF0">
      <w:pPr>
        <w:pStyle w:val="BodyText"/>
        <w:numPr>
          <w:ilvl w:val="0"/>
          <w:numId w:val="12"/>
        </w:numPr>
        <w:spacing w:before="0" w:after="0"/>
        <w:ind w:left="1559" w:hanging="425"/>
      </w:pPr>
      <w:r>
        <w:t xml:space="preserve">creditors and </w:t>
      </w:r>
      <w:proofErr w:type="gramStart"/>
      <w:r>
        <w:t>accruals;</w:t>
      </w:r>
      <w:proofErr w:type="gramEnd"/>
    </w:p>
    <w:p w14:paraId="0C955F26" w14:textId="3C443E40" w:rsidR="00246983" w:rsidRDefault="00246983" w:rsidP="00655BF0">
      <w:pPr>
        <w:pStyle w:val="BodyText"/>
        <w:numPr>
          <w:ilvl w:val="0"/>
          <w:numId w:val="12"/>
        </w:numPr>
        <w:spacing w:before="0" w:after="0"/>
        <w:ind w:left="1559" w:hanging="425"/>
      </w:pPr>
      <w:r>
        <w:t xml:space="preserve">bank </w:t>
      </w:r>
      <w:proofErr w:type="gramStart"/>
      <w:r>
        <w:t>reconciliations;</w:t>
      </w:r>
      <w:proofErr w:type="gramEnd"/>
    </w:p>
    <w:p w14:paraId="596FFBB0" w14:textId="3C1E819D" w:rsidR="00246983" w:rsidRDefault="00246983" w:rsidP="00655BF0">
      <w:pPr>
        <w:pStyle w:val="BodyText"/>
        <w:numPr>
          <w:ilvl w:val="0"/>
          <w:numId w:val="12"/>
        </w:numPr>
        <w:spacing w:before="0" w:after="0"/>
        <w:ind w:left="1559" w:hanging="425"/>
      </w:pPr>
      <w:r>
        <w:t xml:space="preserve">loan </w:t>
      </w:r>
      <w:proofErr w:type="gramStart"/>
      <w:r>
        <w:t>accounts;</w:t>
      </w:r>
      <w:proofErr w:type="gramEnd"/>
    </w:p>
    <w:p w14:paraId="38177954" w14:textId="569EC2FE" w:rsidR="00246983" w:rsidRDefault="00246983" w:rsidP="00655BF0">
      <w:pPr>
        <w:pStyle w:val="BodyText"/>
        <w:numPr>
          <w:ilvl w:val="0"/>
          <w:numId w:val="12"/>
        </w:numPr>
        <w:spacing w:before="0" w:after="0"/>
        <w:ind w:left="1559" w:hanging="425"/>
      </w:pPr>
      <w:r>
        <w:t xml:space="preserve">hire purchase/lease </w:t>
      </w:r>
      <w:proofErr w:type="gramStart"/>
      <w:r>
        <w:t>agreements;</w:t>
      </w:r>
      <w:proofErr w:type="gramEnd"/>
    </w:p>
    <w:p w14:paraId="66C50636" w14:textId="77777777" w:rsidR="00321DC3" w:rsidRDefault="00246983" w:rsidP="00655BF0">
      <w:pPr>
        <w:pStyle w:val="BodyText"/>
        <w:numPr>
          <w:ilvl w:val="0"/>
          <w:numId w:val="12"/>
        </w:numPr>
        <w:spacing w:before="0" w:after="0"/>
        <w:ind w:left="1559" w:hanging="425"/>
      </w:pPr>
      <w:r>
        <w:t>any other balance sheet items</w:t>
      </w:r>
    </w:p>
    <w:p w14:paraId="5D0944C4" w14:textId="331A5E11" w:rsidR="00246983" w:rsidRDefault="00321DC3" w:rsidP="00655BF0">
      <w:pPr>
        <w:pStyle w:val="BodyText"/>
        <w:numPr>
          <w:ilvl w:val="0"/>
          <w:numId w:val="12"/>
        </w:numPr>
        <w:spacing w:before="0" w:after="0"/>
        <w:ind w:left="1559" w:hanging="425"/>
      </w:pPr>
      <w:r>
        <w:t>a</w:t>
      </w:r>
      <w:r w:rsidR="00246983">
        <w:t>ny other schedules without which it would be difficult to see how the accounts have been prepared.</w:t>
      </w:r>
    </w:p>
    <w:p w14:paraId="67BB8D46" w14:textId="2F307610" w:rsidR="005A04ED" w:rsidRDefault="005A04ED" w:rsidP="00F1741A">
      <w:pPr>
        <w:pStyle w:val="BodyText"/>
        <w:numPr>
          <w:ilvl w:val="0"/>
          <w:numId w:val="8"/>
        </w:numPr>
        <w:rPr>
          <w:rFonts w:cs="Arial"/>
        </w:rPr>
      </w:pPr>
      <w:r w:rsidRPr="001320BB">
        <w:rPr>
          <w:rFonts w:cs="Arial"/>
        </w:rPr>
        <w:t>Details of historical cost or valuation relating to assets still held</w:t>
      </w:r>
    </w:p>
    <w:p w14:paraId="30D65856" w14:textId="77777777" w:rsidR="00084538" w:rsidRPr="00084538" w:rsidRDefault="00084538" w:rsidP="00F1741A">
      <w:pPr>
        <w:pStyle w:val="BodyText"/>
        <w:numPr>
          <w:ilvl w:val="0"/>
          <w:numId w:val="8"/>
        </w:numPr>
        <w:rPr>
          <w:rFonts w:cs="Arial"/>
        </w:rPr>
      </w:pPr>
      <w:r w:rsidRPr="00837539">
        <w:t>The e-Filing code for Companies House.</w:t>
      </w:r>
    </w:p>
    <w:p w14:paraId="712E201F" w14:textId="700FFFD4" w:rsidR="00084538" w:rsidRPr="001320BB" w:rsidRDefault="00084538" w:rsidP="00F1741A">
      <w:pPr>
        <w:pStyle w:val="BodyText"/>
        <w:numPr>
          <w:ilvl w:val="0"/>
          <w:numId w:val="8"/>
        </w:numPr>
        <w:rPr>
          <w:rFonts w:cs="Arial"/>
        </w:rPr>
      </w:pPr>
      <w:r>
        <w:t xml:space="preserve">Any data that would be useful for future </w:t>
      </w:r>
      <w:proofErr w:type="spellStart"/>
      <w:r>
        <w:t>iXBRL</w:t>
      </w:r>
      <w:proofErr w:type="spellEnd"/>
      <w:r>
        <w:t xml:space="preserve"> tagging of the accounts</w:t>
      </w:r>
    </w:p>
    <w:p w14:paraId="7C7B0801" w14:textId="6AD9B5A0" w:rsidR="00286BE1" w:rsidRDefault="00286BE1" w:rsidP="00F1741A">
      <w:pPr>
        <w:pStyle w:val="BodyText"/>
        <w:rPr>
          <w:rFonts w:cs="Arial"/>
        </w:rPr>
      </w:pPr>
      <w:r>
        <w:rPr>
          <w:rFonts w:cs="Arial"/>
          <w:u w:val="single"/>
        </w:rPr>
        <w:t>Cloud accounting</w:t>
      </w:r>
      <w:r w:rsidR="004308DC">
        <w:rPr>
          <w:rFonts w:cs="Arial"/>
          <w:u w:val="single"/>
        </w:rPr>
        <w:t xml:space="preserve"> / Book-keeping services</w:t>
      </w:r>
    </w:p>
    <w:p w14:paraId="48254185" w14:textId="13F73F39" w:rsidR="00084316" w:rsidRPr="006C1E53" w:rsidRDefault="00235BC3">
      <w:pPr>
        <w:pStyle w:val="BodyText"/>
        <w:numPr>
          <w:ilvl w:val="0"/>
          <w:numId w:val="8"/>
        </w:numPr>
        <w:rPr>
          <w:rFonts w:cs="Arial"/>
        </w:rPr>
      </w:pPr>
      <w:r>
        <w:t>A</w:t>
      </w:r>
      <w:r w:rsidR="00E97114">
        <w:t xml:space="preserve"> backup or data download of the clients </w:t>
      </w:r>
      <w:r w:rsidR="00C47242">
        <w:t>digital accounting records</w:t>
      </w:r>
    </w:p>
    <w:p w14:paraId="7ACB43C5" w14:textId="2D1E3F9C" w:rsidR="006772AF" w:rsidRDefault="00DD17F7" w:rsidP="00F1741A">
      <w:pPr>
        <w:pStyle w:val="BodyText"/>
        <w:rPr>
          <w:rFonts w:cs="Arial"/>
          <w:u w:val="single"/>
        </w:rPr>
      </w:pPr>
      <w:r>
        <w:rPr>
          <w:rFonts w:cs="Arial"/>
          <w:u w:val="single"/>
        </w:rPr>
        <w:t xml:space="preserve">Personal </w:t>
      </w:r>
      <w:r w:rsidR="001B730B">
        <w:rPr>
          <w:rFonts w:cs="Arial"/>
          <w:u w:val="single"/>
        </w:rPr>
        <w:t>Tax</w:t>
      </w:r>
    </w:p>
    <w:p w14:paraId="71087F02" w14:textId="2EEBD007" w:rsidR="00812EFE" w:rsidRDefault="00812EFE" w:rsidP="00812EFE">
      <w:pPr>
        <w:pStyle w:val="BodyText"/>
        <w:numPr>
          <w:ilvl w:val="0"/>
          <w:numId w:val="8"/>
        </w:numPr>
      </w:pPr>
      <w:r>
        <w:t>Copies of the last tax return and schedules prepared and submitted to HMRC and any other relevant supporting pages and details.</w:t>
      </w:r>
    </w:p>
    <w:p w14:paraId="279865F9" w14:textId="0BF231CD" w:rsidR="001717F9" w:rsidRDefault="001717F9" w:rsidP="00812EFE">
      <w:pPr>
        <w:pStyle w:val="BodyText"/>
        <w:numPr>
          <w:ilvl w:val="0"/>
          <w:numId w:val="8"/>
        </w:numPr>
      </w:pPr>
      <w:r>
        <w:t>Copy of the last taxation computation. The computation should include details of disallowable expenses, capital allowances and any other adjustments to accounting profits.</w:t>
      </w:r>
    </w:p>
    <w:p w14:paraId="2C78F991" w14:textId="77777777" w:rsidR="00A44B5D" w:rsidRDefault="00A44B5D" w:rsidP="00A44B5D">
      <w:pPr>
        <w:pStyle w:val="BodyText"/>
        <w:numPr>
          <w:ilvl w:val="0"/>
          <w:numId w:val="8"/>
        </w:numPr>
      </w:pPr>
      <w:r>
        <w:t>Copies of all returns relating to any earlier tax years which are still open or on which enquiries are still in progress.</w:t>
      </w:r>
    </w:p>
    <w:p w14:paraId="51E4ECE1" w14:textId="77777777" w:rsidR="00CE31A3" w:rsidRDefault="00CE31A3" w:rsidP="00CE31A3">
      <w:pPr>
        <w:pStyle w:val="BodyText"/>
        <w:numPr>
          <w:ilvl w:val="0"/>
          <w:numId w:val="8"/>
        </w:numPr>
      </w:pPr>
      <w:r>
        <w:t>Copies of calculations or computations arriving at the amounts payable to HMRC for the period.</w:t>
      </w:r>
    </w:p>
    <w:p w14:paraId="5660518C" w14:textId="77777777" w:rsidR="00CE31A3" w:rsidRDefault="00CE31A3" w:rsidP="00CE31A3">
      <w:pPr>
        <w:pStyle w:val="BodyText"/>
        <w:numPr>
          <w:ilvl w:val="0"/>
          <w:numId w:val="8"/>
        </w:numPr>
      </w:pPr>
      <w:r>
        <w:t>Details of any amendments made to the above tax returns or computations.</w:t>
      </w:r>
    </w:p>
    <w:p w14:paraId="083FFCC0" w14:textId="43570AC7" w:rsidR="008141F1" w:rsidRDefault="008141F1" w:rsidP="00F1741A">
      <w:pPr>
        <w:pStyle w:val="BodyText"/>
        <w:numPr>
          <w:ilvl w:val="0"/>
          <w:numId w:val="8"/>
        </w:numPr>
        <w:rPr>
          <w:rFonts w:cs="Arial"/>
        </w:rPr>
      </w:pPr>
      <w:r w:rsidRPr="67D4A506">
        <w:rPr>
          <w:rFonts w:cs="Arial"/>
        </w:rPr>
        <w:t>Tax reference numbers</w:t>
      </w:r>
      <w:r w:rsidR="00CE31A3" w:rsidRPr="67D4A506">
        <w:rPr>
          <w:rFonts w:cs="Arial"/>
        </w:rPr>
        <w:t>, where not evident on the tax returns being provided</w:t>
      </w:r>
    </w:p>
    <w:p w14:paraId="01F0215E" w14:textId="110A6A42" w:rsidR="00913844" w:rsidRDefault="00913844" w:rsidP="00F1741A">
      <w:pPr>
        <w:pStyle w:val="BodyText"/>
        <w:numPr>
          <w:ilvl w:val="0"/>
          <w:numId w:val="8"/>
        </w:numPr>
        <w:rPr>
          <w:rFonts w:cs="Arial"/>
        </w:rPr>
      </w:pPr>
      <w:r w:rsidRPr="67D4A506">
        <w:rPr>
          <w:rFonts w:cs="Arial"/>
        </w:rPr>
        <w:t xml:space="preserve">Details of all tax losses available </w:t>
      </w:r>
    </w:p>
    <w:p w14:paraId="2FA50855" w14:textId="4B95548C" w:rsidR="006A47CC" w:rsidRDefault="006A47CC" w:rsidP="00F1741A">
      <w:pPr>
        <w:pStyle w:val="BodyText"/>
        <w:numPr>
          <w:ilvl w:val="0"/>
          <w:numId w:val="8"/>
        </w:numPr>
        <w:rPr>
          <w:rFonts w:cs="Arial"/>
        </w:rPr>
      </w:pPr>
      <w:r w:rsidRPr="67D4A506">
        <w:rPr>
          <w:rFonts w:cs="Arial"/>
        </w:rPr>
        <w:t xml:space="preserve">Details of any arrangements with </w:t>
      </w:r>
      <w:r w:rsidR="00615E37" w:rsidRPr="67D4A506">
        <w:rPr>
          <w:rFonts w:cs="Arial"/>
        </w:rPr>
        <w:t>HMRC</w:t>
      </w:r>
      <w:r w:rsidR="007D0F45" w:rsidRPr="67D4A506">
        <w:rPr>
          <w:rFonts w:cs="Arial"/>
        </w:rPr>
        <w:t xml:space="preserve"> </w:t>
      </w:r>
    </w:p>
    <w:p w14:paraId="2A1C345E" w14:textId="411546B7" w:rsidR="003D0944" w:rsidRDefault="003D0944" w:rsidP="00F1741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 xml:space="preserve">Outstanding </w:t>
      </w:r>
      <w:r w:rsidR="007D0F45" w:rsidRPr="67D4A506">
        <w:rPr>
          <w:rFonts w:cs="Arial"/>
          <w:color w:val="000000" w:themeColor="text1"/>
          <w:lang w:eastAsia="en-GB"/>
        </w:rPr>
        <w:t>c</w:t>
      </w:r>
      <w:r w:rsidRPr="67D4A506">
        <w:rPr>
          <w:rFonts w:cs="Arial"/>
          <w:color w:val="000000" w:themeColor="text1"/>
          <w:lang w:eastAsia="en-GB"/>
        </w:rPr>
        <w:t xml:space="preserve">orrespondence with HMRC </w:t>
      </w:r>
    </w:p>
    <w:p w14:paraId="58542CCC" w14:textId="4956432B" w:rsidR="00696C41" w:rsidRDefault="00696C41" w:rsidP="00F1741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 xml:space="preserve">Latest income tax assessments and any outstanding appeals or correspondence </w:t>
      </w:r>
    </w:p>
    <w:p w14:paraId="123D3A78" w14:textId="0DE42962" w:rsidR="00B461A9" w:rsidRDefault="00B461A9" w:rsidP="00B461A9">
      <w:pPr>
        <w:pStyle w:val="BodyText"/>
        <w:numPr>
          <w:ilvl w:val="0"/>
          <w:numId w:val="8"/>
        </w:numPr>
      </w:pPr>
      <w:r>
        <w:t>A copy of the most recent Statement of Account issued by HMRC</w:t>
      </w:r>
    </w:p>
    <w:p w14:paraId="14D74D2E" w14:textId="77777777" w:rsidR="004D5184" w:rsidRDefault="004D5184" w:rsidP="004D5184">
      <w:pPr>
        <w:pStyle w:val="BodyText"/>
        <w:numPr>
          <w:ilvl w:val="0"/>
          <w:numId w:val="8"/>
        </w:numPr>
      </w:pPr>
      <w:r>
        <w:t>Details of date and cost of all chargeable assets held and, where applicable, the 31</w:t>
      </w:r>
      <w:r w:rsidRPr="67D4A506">
        <w:rPr>
          <w:vertAlign w:val="superscript"/>
        </w:rPr>
        <w:t xml:space="preserve"> </w:t>
      </w:r>
      <w:r>
        <w:t xml:space="preserve">March </w:t>
      </w:r>
      <w:proofErr w:type="gramStart"/>
      <w:r>
        <w:t>1982  values</w:t>
      </w:r>
      <w:proofErr w:type="gramEnd"/>
      <w:r>
        <w:t>. Details of any enhancement expenditure.</w:t>
      </w:r>
    </w:p>
    <w:p w14:paraId="22B887D3" w14:textId="77777777" w:rsidR="004D5184" w:rsidRDefault="004D5184" w:rsidP="004D5184">
      <w:pPr>
        <w:pStyle w:val="BodyText"/>
        <w:numPr>
          <w:ilvl w:val="0"/>
          <w:numId w:val="8"/>
        </w:numPr>
      </w:pPr>
      <w:r>
        <w:lastRenderedPageBreak/>
        <w:t>Details of any chargeable gains held over or rolled over since 31 March 1982 which is reflected in the base cost of any assets still held.</w:t>
      </w:r>
    </w:p>
    <w:p w14:paraId="1C3F6047" w14:textId="77777777" w:rsidR="004D5184" w:rsidRDefault="004D5184" w:rsidP="004D5184">
      <w:pPr>
        <w:pStyle w:val="BodyText"/>
        <w:numPr>
          <w:ilvl w:val="0"/>
          <w:numId w:val="8"/>
        </w:numPr>
      </w:pPr>
      <w:r>
        <w:t>Details of any negligible value claims under Taxation of Chargeable Gains Act 1992 Section 24(2).</w:t>
      </w:r>
    </w:p>
    <w:p w14:paraId="465D473A" w14:textId="77777777" w:rsidR="004D5184" w:rsidRDefault="004D5184" w:rsidP="004D5184">
      <w:pPr>
        <w:pStyle w:val="BodyText"/>
        <w:numPr>
          <w:ilvl w:val="0"/>
          <w:numId w:val="8"/>
        </w:numPr>
      </w:pPr>
      <w:r>
        <w:t>Details of any part disposal calculations which could affect future Capital Gains.</w:t>
      </w:r>
    </w:p>
    <w:p w14:paraId="03826832" w14:textId="04787C51" w:rsidR="004D5184" w:rsidRDefault="004D5184" w:rsidP="004D5184">
      <w:pPr>
        <w:pStyle w:val="BodyText"/>
        <w:numPr>
          <w:ilvl w:val="0"/>
          <w:numId w:val="8"/>
        </w:numPr>
      </w:pPr>
      <w:r>
        <w:t>A copy of any other permanent elections which may be applicable e.g. principal private residence election under Taxation of Chargeable Gains 1992 Section 222.</w:t>
      </w:r>
    </w:p>
    <w:p w14:paraId="1D45EFCB" w14:textId="66E070CF" w:rsidR="00EE0FC3" w:rsidRDefault="00EE0FC3" w:rsidP="004D5184">
      <w:pPr>
        <w:pStyle w:val="BodyText"/>
        <w:numPr>
          <w:ilvl w:val="0"/>
          <w:numId w:val="8"/>
        </w:numPr>
      </w:pPr>
      <w:r>
        <w:t xml:space="preserve">Details of </w:t>
      </w:r>
      <w:r w:rsidRPr="00EE0FC3">
        <w:t>any sales of residential property reported / reportable under 30-day reporting rules</w:t>
      </w:r>
      <w:r w:rsidR="0002036C">
        <w:t>.</w:t>
      </w:r>
    </w:p>
    <w:p w14:paraId="3CE3FDC3" w14:textId="77777777" w:rsidR="004D5184" w:rsidRDefault="004D5184" w:rsidP="004D5184">
      <w:pPr>
        <w:pStyle w:val="BodyText"/>
        <w:numPr>
          <w:ilvl w:val="0"/>
          <w:numId w:val="8"/>
        </w:numPr>
      </w:pPr>
      <w:r>
        <w:t>Details of any capital losses carried forward, noting separately those arising on transactions with connected persons.</w:t>
      </w:r>
    </w:p>
    <w:p w14:paraId="7B8E3B6B" w14:textId="77777777" w:rsidR="009F3BD5" w:rsidRDefault="009F3BD5" w:rsidP="009F3BD5">
      <w:pPr>
        <w:pStyle w:val="BodyText"/>
        <w:numPr>
          <w:ilvl w:val="0"/>
          <w:numId w:val="8"/>
        </w:numPr>
      </w:pPr>
      <w:r>
        <w:t>Copies of any inheritance tax returns made.</w:t>
      </w:r>
    </w:p>
    <w:p w14:paraId="1A8A68F1" w14:textId="77777777" w:rsidR="009F3BD5" w:rsidRDefault="009F3BD5" w:rsidP="009F3BD5">
      <w:pPr>
        <w:pStyle w:val="BodyText"/>
        <w:numPr>
          <w:ilvl w:val="0"/>
          <w:numId w:val="8"/>
        </w:numPr>
      </w:pPr>
      <w:r>
        <w:t>Details of any potentially exempt transfers made of which you are aware.</w:t>
      </w:r>
    </w:p>
    <w:p w14:paraId="29D7DACD" w14:textId="32FD442D" w:rsidR="00CF4D4A" w:rsidRDefault="00CF4D4A" w:rsidP="00CF4D4A">
      <w:pPr>
        <w:pStyle w:val="BodyText"/>
        <w:rPr>
          <w:rFonts w:cs="Arial"/>
          <w:u w:val="single"/>
        </w:rPr>
      </w:pPr>
      <w:r>
        <w:rPr>
          <w:rFonts w:cs="Arial"/>
          <w:u w:val="single"/>
        </w:rPr>
        <w:t>Partnership Tax</w:t>
      </w:r>
    </w:p>
    <w:p w14:paraId="310D6C6F" w14:textId="5CFADC87" w:rsidR="0096634B" w:rsidRDefault="00FF1E94" w:rsidP="0096634B">
      <w:pPr>
        <w:pStyle w:val="BodyText"/>
        <w:numPr>
          <w:ilvl w:val="0"/>
          <w:numId w:val="8"/>
        </w:numPr>
      </w:pPr>
      <w:r>
        <w:t>Copies of t</w:t>
      </w:r>
      <w:r w:rsidR="0096634B">
        <w:t xml:space="preserve">he last partnership tax return and schedules </w:t>
      </w:r>
      <w:r w:rsidR="00D735BC">
        <w:t xml:space="preserve">prepared and </w:t>
      </w:r>
      <w:r w:rsidR="0096634B">
        <w:t xml:space="preserve">submitted to </w:t>
      </w:r>
      <w:r w:rsidR="00D735BC">
        <w:t xml:space="preserve">HMRC </w:t>
      </w:r>
      <w:r w:rsidR="0096634B">
        <w:t>and any other relevant supporting pages and details.</w:t>
      </w:r>
    </w:p>
    <w:p w14:paraId="6B05B0BE" w14:textId="3BDC8642" w:rsidR="0096634B" w:rsidRDefault="008233C4" w:rsidP="0096634B">
      <w:pPr>
        <w:pStyle w:val="BodyText"/>
        <w:numPr>
          <w:ilvl w:val="0"/>
          <w:numId w:val="8"/>
        </w:numPr>
      </w:pPr>
      <w:r>
        <w:t>Copy of the last t</w:t>
      </w:r>
      <w:r w:rsidR="0096634B">
        <w:t>axation computation for the partnership. The computation should include details of disallowable expenses, capital allowances and any other adjustments to accounting profits.</w:t>
      </w:r>
    </w:p>
    <w:p w14:paraId="545A61BB" w14:textId="77777777" w:rsidR="0096634B" w:rsidRDefault="0096634B" w:rsidP="0096634B">
      <w:pPr>
        <w:pStyle w:val="BodyText"/>
        <w:numPr>
          <w:ilvl w:val="0"/>
          <w:numId w:val="8"/>
        </w:numPr>
      </w:pPr>
      <w:r>
        <w:t>Copies of all returns relating to any earlier tax years which are still open or on which enquiries are still in progress.</w:t>
      </w:r>
    </w:p>
    <w:p w14:paraId="0E6B9309" w14:textId="2EAF86F2" w:rsidR="00DE4719" w:rsidRDefault="00DE4719" w:rsidP="00DE4719">
      <w:pPr>
        <w:pStyle w:val="BodyText"/>
        <w:numPr>
          <w:ilvl w:val="0"/>
          <w:numId w:val="8"/>
        </w:numPr>
      </w:pPr>
      <w:r>
        <w:t>Copies of calculations or computations arriving at the amounts payable to HM</w:t>
      </w:r>
      <w:r w:rsidR="00A44B5D">
        <w:t xml:space="preserve">RC </w:t>
      </w:r>
      <w:r>
        <w:t>for the period.</w:t>
      </w:r>
    </w:p>
    <w:p w14:paraId="4FF47132" w14:textId="77777777" w:rsidR="00DE4719" w:rsidRDefault="00DE4719" w:rsidP="00DE4719">
      <w:pPr>
        <w:pStyle w:val="BodyText"/>
        <w:numPr>
          <w:ilvl w:val="0"/>
          <w:numId w:val="8"/>
        </w:numPr>
      </w:pPr>
      <w:r>
        <w:t>Details of any amendments made to the above tax returns or computations.</w:t>
      </w:r>
    </w:p>
    <w:p w14:paraId="4E63DE77" w14:textId="31C93B8D" w:rsidR="00CF4D4A" w:rsidRDefault="00CF4D4A" w:rsidP="00CF4D4A">
      <w:pPr>
        <w:pStyle w:val="BodyText"/>
        <w:numPr>
          <w:ilvl w:val="0"/>
          <w:numId w:val="8"/>
        </w:numPr>
        <w:rPr>
          <w:rFonts w:cs="Arial"/>
        </w:rPr>
      </w:pPr>
      <w:r w:rsidRPr="67D4A506">
        <w:rPr>
          <w:rFonts w:cs="Arial"/>
        </w:rPr>
        <w:t>Tax reference numbers</w:t>
      </w:r>
      <w:r w:rsidR="0096634B" w:rsidRPr="67D4A506">
        <w:rPr>
          <w:rFonts w:cs="Arial"/>
        </w:rPr>
        <w:t>, where not evident on the tax returns being provided</w:t>
      </w:r>
    </w:p>
    <w:p w14:paraId="685A6613" w14:textId="257D74D2" w:rsidR="00CF4D4A" w:rsidRDefault="00CF4D4A" w:rsidP="00CF4D4A">
      <w:pPr>
        <w:pStyle w:val="BodyText"/>
        <w:numPr>
          <w:ilvl w:val="0"/>
          <w:numId w:val="8"/>
        </w:numPr>
        <w:rPr>
          <w:rFonts w:cs="Arial"/>
        </w:rPr>
      </w:pPr>
      <w:r w:rsidRPr="67D4A506">
        <w:rPr>
          <w:rFonts w:cs="Arial"/>
        </w:rPr>
        <w:t xml:space="preserve">Details of all tax losses </w:t>
      </w:r>
      <w:r w:rsidR="00CB1385" w:rsidRPr="67D4A506">
        <w:rPr>
          <w:rFonts w:cs="Arial"/>
        </w:rPr>
        <w:t xml:space="preserve">and overlap profits </w:t>
      </w:r>
      <w:r w:rsidRPr="67D4A506">
        <w:rPr>
          <w:rFonts w:cs="Arial"/>
        </w:rPr>
        <w:t xml:space="preserve">available </w:t>
      </w:r>
    </w:p>
    <w:p w14:paraId="6F0AE7DA" w14:textId="77777777" w:rsidR="00CF4D4A" w:rsidRDefault="00CF4D4A" w:rsidP="00CF4D4A">
      <w:pPr>
        <w:pStyle w:val="BodyText"/>
        <w:numPr>
          <w:ilvl w:val="0"/>
          <w:numId w:val="8"/>
        </w:numPr>
        <w:rPr>
          <w:rFonts w:cs="Arial"/>
        </w:rPr>
      </w:pPr>
      <w:r w:rsidRPr="67D4A506">
        <w:rPr>
          <w:rFonts w:cs="Arial"/>
        </w:rPr>
        <w:t xml:space="preserve">Details of any arrangements with HMRC </w:t>
      </w:r>
    </w:p>
    <w:p w14:paraId="106D8731" w14:textId="77777777" w:rsidR="00CF4D4A" w:rsidRDefault="00CF4D4A" w:rsidP="00CF4D4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 xml:space="preserve">Outstanding correspondence with HMRC </w:t>
      </w:r>
    </w:p>
    <w:p w14:paraId="6BFFD817" w14:textId="61B1FE94" w:rsidR="004D5184" w:rsidRDefault="004D5184" w:rsidP="004D5184">
      <w:pPr>
        <w:pStyle w:val="BodyText"/>
        <w:numPr>
          <w:ilvl w:val="0"/>
          <w:numId w:val="8"/>
        </w:numPr>
      </w:pPr>
      <w:r>
        <w:t xml:space="preserve">A copy of the most recent Statement of Account issued for each partner by </w:t>
      </w:r>
      <w:r w:rsidR="00B461A9">
        <w:t>HMRC</w:t>
      </w:r>
    </w:p>
    <w:p w14:paraId="57A53995" w14:textId="77777777" w:rsidR="004D5184" w:rsidRDefault="004D5184" w:rsidP="004D5184">
      <w:pPr>
        <w:pStyle w:val="BodyText"/>
        <w:numPr>
          <w:ilvl w:val="0"/>
          <w:numId w:val="8"/>
        </w:numPr>
      </w:pPr>
      <w:r>
        <w:t>Details of date and cost of all chargeable assets held and, where applicable, the 31</w:t>
      </w:r>
      <w:r w:rsidRPr="67D4A506">
        <w:rPr>
          <w:vertAlign w:val="superscript"/>
        </w:rPr>
        <w:t xml:space="preserve"> </w:t>
      </w:r>
      <w:r>
        <w:t xml:space="preserve">March </w:t>
      </w:r>
      <w:proofErr w:type="gramStart"/>
      <w:r>
        <w:t>1982  values</w:t>
      </w:r>
      <w:proofErr w:type="gramEnd"/>
      <w:r>
        <w:t>. Details of any enhancement expenditure.</w:t>
      </w:r>
    </w:p>
    <w:p w14:paraId="789EEFED" w14:textId="77777777" w:rsidR="004D5184" w:rsidRDefault="004D5184" w:rsidP="004D5184">
      <w:pPr>
        <w:pStyle w:val="BodyText"/>
        <w:numPr>
          <w:ilvl w:val="0"/>
          <w:numId w:val="8"/>
        </w:numPr>
      </w:pPr>
      <w:r>
        <w:t>Details of any chargeable gains held over or rolled over since 31 March 1982 which is reflected in the base cost of any assets still held.</w:t>
      </w:r>
    </w:p>
    <w:p w14:paraId="04675F65" w14:textId="77777777" w:rsidR="004D5184" w:rsidRDefault="004D5184" w:rsidP="004D5184">
      <w:pPr>
        <w:pStyle w:val="BodyText"/>
        <w:numPr>
          <w:ilvl w:val="0"/>
          <w:numId w:val="8"/>
        </w:numPr>
      </w:pPr>
      <w:r>
        <w:t>Details of any negligible value claims under Taxation of Chargeable Gains Act 1992 Section 24(2).</w:t>
      </w:r>
    </w:p>
    <w:p w14:paraId="0CC368C1" w14:textId="77777777" w:rsidR="004D5184" w:rsidRDefault="004D5184" w:rsidP="004D5184">
      <w:pPr>
        <w:pStyle w:val="BodyText"/>
        <w:numPr>
          <w:ilvl w:val="0"/>
          <w:numId w:val="8"/>
        </w:numPr>
      </w:pPr>
      <w:r>
        <w:t>Details of any part disposal calculations which could affect future Capital Gains.</w:t>
      </w:r>
    </w:p>
    <w:p w14:paraId="3F967D65" w14:textId="77777777" w:rsidR="004D5184" w:rsidRDefault="004D5184" w:rsidP="004D5184">
      <w:pPr>
        <w:pStyle w:val="BodyText"/>
        <w:numPr>
          <w:ilvl w:val="0"/>
          <w:numId w:val="8"/>
        </w:numPr>
      </w:pPr>
      <w:r>
        <w:t>A copy of any other permanent elections which may be applicable e.g. principal private residence election under Taxation of Chargeable Gains 1992 Section 222.</w:t>
      </w:r>
    </w:p>
    <w:p w14:paraId="0B5557E6" w14:textId="77777777" w:rsidR="004D5184" w:rsidRDefault="004D5184" w:rsidP="004D5184">
      <w:pPr>
        <w:pStyle w:val="BodyText"/>
        <w:numPr>
          <w:ilvl w:val="0"/>
          <w:numId w:val="8"/>
        </w:numPr>
      </w:pPr>
      <w:r>
        <w:t>Details of any capital losses carried forward, noting separately those arising on transactions with connected persons.</w:t>
      </w:r>
    </w:p>
    <w:p w14:paraId="4892B649" w14:textId="77777777" w:rsidR="004D5184" w:rsidRDefault="004D5184" w:rsidP="004D5184">
      <w:pPr>
        <w:pStyle w:val="BodyText"/>
        <w:numPr>
          <w:ilvl w:val="0"/>
          <w:numId w:val="8"/>
        </w:numPr>
      </w:pPr>
      <w:r>
        <w:t>Details of any outstanding claims or elections that may be relevant.</w:t>
      </w:r>
    </w:p>
    <w:p w14:paraId="1129A857" w14:textId="603CF3E9" w:rsidR="004D5184" w:rsidRPr="00222E31" w:rsidRDefault="004D5184" w:rsidP="00222E31">
      <w:pPr>
        <w:pStyle w:val="BodyText"/>
        <w:numPr>
          <w:ilvl w:val="0"/>
          <w:numId w:val="8"/>
        </w:numPr>
      </w:pPr>
      <w:r>
        <w:t>Details of any time limit where claims are still required.</w:t>
      </w:r>
    </w:p>
    <w:p w14:paraId="607274C5" w14:textId="4679B74B" w:rsidR="00DD17F7" w:rsidRDefault="00DD17F7" w:rsidP="00F1741A">
      <w:pPr>
        <w:pStyle w:val="BodyText"/>
        <w:rPr>
          <w:rFonts w:cs="Arial"/>
          <w:u w:val="single"/>
        </w:rPr>
      </w:pPr>
      <w:r>
        <w:rPr>
          <w:rFonts w:cs="Arial"/>
          <w:u w:val="single"/>
        </w:rPr>
        <w:lastRenderedPageBreak/>
        <w:t>Corporate Tax</w:t>
      </w:r>
    </w:p>
    <w:p w14:paraId="76D5FD7C" w14:textId="77777777" w:rsidR="00447C45" w:rsidRDefault="00447C45" w:rsidP="00F1741A">
      <w:pPr>
        <w:spacing w:before="0" w:after="0"/>
        <w:jc w:val="left"/>
        <w:rPr>
          <w:rFonts w:cs="Arial"/>
          <w:u w:val="single"/>
        </w:rPr>
      </w:pPr>
    </w:p>
    <w:p w14:paraId="48DE76E5" w14:textId="16FBA65A" w:rsidR="009620A9" w:rsidRDefault="00327C44" w:rsidP="009620A9">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C</w:t>
      </w:r>
      <w:r w:rsidR="009620A9" w:rsidRPr="67D4A506">
        <w:rPr>
          <w:rFonts w:cs="Arial"/>
          <w:color w:val="000000" w:themeColor="text1"/>
          <w:lang w:eastAsia="en-GB"/>
        </w:rPr>
        <w:t xml:space="preserve">opies of </w:t>
      </w:r>
      <w:r w:rsidRPr="67D4A506">
        <w:rPr>
          <w:rFonts w:cs="Arial"/>
          <w:color w:val="000000" w:themeColor="text1"/>
          <w:lang w:eastAsia="en-GB"/>
        </w:rPr>
        <w:t xml:space="preserve">the last CT600 </w:t>
      </w:r>
      <w:r w:rsidR="00806445" w:rsidRPr="67D4A506">
        <w:rPr>
          <w:rFonts w:cs="Arial"/>
          <w:color w:val="000000" w:themeColor="text1"/>
          <w:lang w:eastAsia="en-GB"/>
        </w:rPr>
        <w:t xml:space="preserve">and schedules </w:t>
      </w:r>
      <w:r w:rsidR="009620A9" w:rsidRPr="67D4A506">
        <w:rPr>
          <w:rFonts w:cs="Arial"/>
          <w:color w:val="000000" w:themeColor="text1"/>
          <w:lang w:eastAsia="en-GB"/>
        </w:rPr>
        <w:t>prepared and agreed by HMRC and any agreed and amended assessments</w:t>
      </w:r>
    </w:p>
    <w:p w14:paraId="560418F8" w14:textId="52D7E9A8" w:rsidR="00806445" w:rsidRDefault="00806445" w:rsidP="00806445">
      <w:pPr>
        <w:pStyle w:val="BodyText"/>
        <w:numPr>
          <w:ilvl w:val="0"/>
          <w:numId w:val="8"/>
        </w:numPr>
      </w:pPr>
      <w:r>
        <w:t>The last corporation tax computation showing disallowable expenses, the capital allowances computation and any other adjustments made to the accounting profit to arrive at taxable total profits.</w:t>
      </w:r>
    </w:p>
    <w:p w14:paraId="43EB5F18" w14:textId="77777777" w:rsidR="00806445" w:rsidRDefault="00806445" w:rsidP="00806445">
      <w:pPr>
        <w:pStyle w:val="BodyText"/>
        <w:numPr>
          <w:ilvl w:val="0"/>
          <w:numId w:val="8"/>
        </w:numPr>
      </w:pPr>
      <w:r>
        <w:t>Copies of all company tax returns relating to any earlier tax years which are still open or on which enquiries are still in progress.</w:t>
      </w:r>
    </w:p>
    <w:p w14:paraId="2C3C9C6D" w14:textId="77777777" w:rsidR="006008D4" w:rsidRDefault="006008D4" w:rsidP="006008D4">
      <w:pPr>
        <w:pStyle w:val="BodyText"/>
        <w:numPr>
          <w:ilvl w:val="0"/>
          <w:numId w:val="8"/>
        </w:numPr>
      </w:pPr>
      <w:r>
        <w:t>Details of any amendments made to the above tax returns or computations.</w:t>
      </w:r>
    </w:p>
    <w:p w14:paraId="3608C4D0" w14:textId="6D533C22" w:rsidR="008141F1" w:rsidRDefault="008141F1" w:rsidP="00F1741A">
      <w:pPr>
        <w:pStyle w:val="BodyText"/>
        <w:numPr>
          <w:ilvl w:val="0"/>
          <w:numId w:val="8"/>
        </w:numPr>
        <w:rPr>
          <w:rFonts w:cs="Arial"/>
        </w:rPr>
      </w:pPr>
      <w:r w:rsidRPr="67D4A506">
        <w:rPr>
          <w:rFonts w:cs="Arial"/>
        </w:rPr>
        <w:t>Tax reference numbers</w:t>
      </w:r>
      <w:r w:rsidR="002D6BA5" w:rsidRPr="67D4A506">
        <w:rPr>
          <w:rFonts w:cs="Arial"/>
        </w:rPr>
        <w:t>, where not evident on the tax returns being provided</w:t>
      </w:r>
    </w:p>
    <w:p w14:paraId="38817C90" w14:textId="6FFCF525" w:rsidR="00913844" w:rsidRPr="001320BB" w:rsidRDefault="00913844" w:rsidP="00F1741A">
      <w:pPr>
        <w:pStyle w:val="BodyText"/>
        <w:numPr>
          <w:ilvl w:val="0"/>
          <w:numId w:val="8"/>
        </w:numPr>
        <w:rPr>
          <w:rFonts w:cs="Arial"/>
        </w:rPr>
      </w:pPr>
      <w:r w:rsidRPr="67D4A506">
        <w:rPr>
          <w:rFonts w:cs="Arial"/>
        </w:rPr>
        <w:t>Details of all tax losses available</w:t>
      </w:r>
    </w:p>
    <w:p w14:paraId="74E81C3F" w14:textId="6BD602A3" w:rsidR="006A47CC" w:rsidRDefault="006A47CC" w:rsidP="00F1741A">
      <w:pPr>
        <w:pStyle w:val="BodyText"/>
        <w:numPr>
          <w:ilvl w:val="0"/>
          <w:numId w:val="8"/>
        </w:numPr>
        <w:rPr>
          <w:rFonts w:cs="Arial"/>
        </w:rPr>
      </w:pPr>
      <w:r w:rsidRPr="67D4A506">
        <w:rPr>
          <w:rFonts w:cs="Arial"/>
        </w:rPr>
        <w:t xml:space="preserve">Details of any arrangements with </w:t>
      </w:r>
      <w:r w:rsidR="006008D4" w:rsidRPr="67D4A506">
        <w:rPr>
          <w:rFonts w:cs="Arial"/>
        </w:rPr>
        <w:t>HMRC</w:t>
      </w:r>
    </w:p>
    <w:p w14:paraId="7F9FB1A9" w14:textId="7D661A82" w:rsidR="00B119C7" w:rsidRDefault="000109F1" w:rsidP="00B119C7">
      <w:pPr>
        <w:pStyle w:val="BodyText"/>
        <w:numPr>
          <w:ilvl w:val="0"/>
          <w:numId w:val="8"/>
        </w:numPr>
      </w:pPr>
      <w:r>
        <w:t>D</w:t>
      </w:r>
      <w:r w:rsidR="00B119C7">
        <w:t>etails of any loans to participators and tax paid or due for reimbursement on these</w:t>
      </w:r>
    </w:p>
    <w:p w14:paraId="1EC8E4F6" w14:textId="2571589C" w:rsidR="009924EA" w:rsidRPr="003D2439" w:rsidRDefault="009924EA" w:rsidP="00F1741A">
      <w:pPr>
        <w:numPr>
          <w:ilvl w:val="0"/>
          <w:numId w:val="8"/>
        </w:numPr>
        <w:spacing w:before="100" w:beforeAutospacing="1" w:after="150"/>
        <w:jc w:val="left"/>
        <w:rPr>
          <w:rFonts w:cs="Arial"/>
          <w:color w:val="000000"/>
          <w:lang w:eastAsia="en-GB"/>
        </w:rPr>
      </w:pPr>
      <w:r>
        <w:t>Details of intangible fixed assets acquired on or after 1 April 2002 and the method by which tax relief has been obtained to date. Where different to the accounts carrying value, please provide the tax written down value of each asset as at the last accounting period end</w:t>
      </w:r>
    </w:p>
    <w:p w14:paraId="51D49451" w14:textId="0861252D" w:rsidR="003D2439" w:rsidRDefault="003D2439" w:rsidP="003D2439">
      <w:pPr>
        <w:pStyle w:val="BodyText"/>
        <w:numPr>
          <w:ilvl w:val="0"/>
          <w:numId w:val="8"/>
        </w:numPr>
      </w:pPr>
      <w:r>
        <w:t>Details of date and cost of all chargeable assets held and where applicable, the 31</w:t>
      </w:r>
      <w:r w:rsidRPr="67D4A506">
        <w:rPr>
          <w:vertAlign w:val="superscript"/>
        </w:rPr>
        <w:t xml:space="preserve"> </w:t>
      </w:r>
      <w:r>
        <w:t>March 1982. Details of any enhancement expenditure</w:t>
      </w:r>
    </w:p>
    <w:p w14:paraId="634ABF2A" w14:textId="11DBF449" w:rsidR="003D2439" w:rsidRDefault="003D2439" w:rsidP="003D2439">
      <w:pPr>
        <w:pStyle w:val="BodyText"/>
        <w:numPr>
          <w:ilvl w:val="0"/>
          <w:numId w:val="8"/>
        </w:numPr>
      </w:pPr>
      <w:r>
        <w:t>Details of any chargeable gains held over or rolled over since 31 March 1982 which is reflected in the base cost of any assets still held</w:t>
      </w:r>
    </w:p>
    <w:p w14:paraId="4594A2FF" w14:textId="3E374C31" w:rsidR="003D2439" w:rsidRDefault="003D2439" w:rsidP="003D2439">
      <w:pPr>
        <w:pStyle w:val="BodyText"/>
        <w:numPr>
          <w:ilvl w:val="0"/>
          <w:numId w:val="8"/>
        </w:numPr>
      </w:pPr>
      <w:r>
        <w:t>Details of any negligible value claims under Taxation of Chargeable Gains Act 1992 Section 24(2)</w:t>
      </w:r>
    </w:p>
    <w:p w14:paraId="723DEA53" w14:textId="6A72CC10" w:rsidR="003D2439" w:rsidRDefault="003D2439" w:rsidP="003D2439">
      <w:pPr>
        <w:pStyle w:val="BodyText"/>
        <w:numPr>
          <w:ilvl w:val="0"/>
          <w:numId w:val="8"/>
        </w:numPr>
      </w:pPr>
      <w:r>
        <w:t>Details of any part disposal calculations which could affect future Capital Gains</w:t>
      </w:r>
    </w:p>
    <w:p w14:paraId="4C535C40" w14:textId="510B80F7" w:rsidR="003D2439" w:rsidRDefault="003D2439" w:rsidP="003D2439">
      <w:pPr>
        <w:pStyle w:val="BodyText"/>
        <w:numPr>
          <w:ilvl w:val="0"/>
          <w:numId w:val="8"/>
        </w:numPr>
      </w:pPr>
      <w:r>
        <w:t>Copy of the rebasing election made under Taxation of Chargeable Gains Act 1992 Section 35(5), if one has been made</w:t>
      </w:r>
    </w:p>
    <w:p w14:paraId="3506E4E2" w14:textId="4C6FD7F6" w:rsidR="003D2439" w:rsidRDefault="003D2439" w:rsidP="003D2439">
      <w:pPr>
        <w:pStyle w:val="BodyText"/>
        <w:numPr>
          <w:ilvl w:val="0"/>
          <w:numId w:val="8"/>
        </w:numPr>
      </w:pPr>
      <w:r>
        <w:t>Details of any capital losses carried forward, noting separately those arising on transactions with connected persons or in connection with “arrangements” to secure a tax advantage</w:t>
      </w:r>
    </w:p>
    <w:p w14:paraId="64877F93" w14:textId="79BCDA5F" w:rsidR="003D2439" w:rsidRDefault="003D2439" w:rsidP="003D2439">
      <w:pPr>
        <w:pStyle w:val="BodyText"/>
        <w:numPr>
          <w:ilvl w:val="0"/>
          <w:numId w:val="8"/>
        </w:numPr>
      </w:pPr>
      <w:r>
        <w:t>If the company is part of a capital gains group, any previous transfers between this company and other group companies that could still be of relevance for tax purposes</w:t>
      </w:r>
    </w:p>
    <w:p w14:paraId="1711B306" w14:textId="3C73147A" w:rsidR="003D0944" w:rsidRDefault="003D0944" w:rsidP="00F1741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 xml:space="preserve">Outstanding </w:t>
      </w:r>
      <w:r w:rsidR="006557FA" w:rsidRPr="67D4A506">
        <w:rPr>
          <w:rFonts w:cs="Arial"/>
          <w:color w:val="000000" w:themeColor="text1"/>
          <w:lang w:eastAsia="en-GB"/>
        </w:rPr>
        <w:t>c</w:t>
      </w:r>
      <w:r w:rsidRPr="67D4A506">
        <w:rPr>
          <w:rFonts w:cs="Arial"/>
          <w:color w:val="000000" w:themeColor="text1"/>
          <w:lang w:eastAsia="en-GB"/>
        </w:rPr>
        <w:t xml:space="preserve">orrespondence with HMRC </w:t>
      </w:r>
    </w:p>
    <w:p w14:paraId="6987C75A" w14:textId="77777777" w:rsidR="00387D9B" w:rsidRDefault="00387D9B" w:rsidP="00387D9B">
      <w:pPr>
        <w:pStyle w:val="BodyText"/>
        <w:numPr>
          <w:ilvl w:val="0"/>
          <w:numId w:val="8"/>
        </w:numPr>
      </w:pPr>
      <w:r>
        <w:t>Details of any outstanding claims or elections that may be relevant.</w:t>
      </w:r>
    </w:p>
    <w:p w14:paraId="18F7C37B" w14:textId="7A41821B" w:rsidR="00387D9B" w:rsidRDefault="00387D9B" w:rsidP="00387D9B">
      <w:pPr>
        <w:pStyle w:val="BodyText"/>
        <w:numPr>
          <w:ilvl w:val="0"/>
          <w:numId w:val="8"/>
        </w:numPr>
      </w:pPr>
      <w:r>
        <w:t>Details of any time limit where claims are still required.</w:t>
      </w:r>
    </w:p>
    <w:p w14:paraId="299E39C6" w14:textId="42644053" w:rsidR="001B730B" w:rsidRPr="001320BB" w:rsidRDefault="001B730B" w:rsidP="00F1741A">
      <w:pPr>
        <w:pStyle w:val="BodyText"/>
        <w:rPr>
          <w:rFonts w:cs="Arial"/>
          <w:u w:val="single"/>
        </w:rPr>
      </w:pPr>
      <w:r>
        <w:rPr>
          <w:rFonts w:cs="Arial"/>
          <w:u w:val="single"/>
        </w:rPr>
        <w:t>Pa</w:t>
      </w:r>
      <w:r w:rsidR="00CE6C09">
        <w:rPr>
          <w:rFonts w:cs="Arial"/>
          <w:u w:val="single"/>
        </w:rPr>
        <w:t>yroll services</w:t>
      </w:r>
    </w:p>
    <w:p w14:paraId="550F9BE3" w14:textId="06060EE0" w:rsidR="00DC6130" w:rsidRPr="00AB2326" w:rsidRDefault="00DC6130" w:rsidP="00DC6130">
      <w:pPr>
        <w:pStyle w:val="BodyText"/>
        <w:numPr>
          <w:ilvl w:val="0"/>
          <w:numId w:val="8"/>
        </w:numPr>
        <w:rPr>
          <w:rFonts w:cs="Arial"/>
        </w:rPr>
      </w:pPr>
      <w:r w:rsidRPr="67D4A506">
        <w:rPr>
          <w:rFonts w:cs="Arial"/>
          <w:color w:val="000000" w:themeColor="text1"/>
          <w:lang w:eastAsia="en-GB"/>
        </w:rPr>
        <w:t xml:space="preserve">Copies of the last </w:t>
      </w:r>
      <w:r w:rsidR="0F5F5170" w:rsidRPr="67D4A506">
        <w:rPr>
          <w:rFonts w:cs="Arial"/>
          <w:color w:val="000000" w:themeColor="text1"/>
          <w:lang w:eastAsia="en-GB"/>
        </w:rPr>
        <w:t>R</w:t>
      </w:r>
      <w:r w:rsidR="2CC8A7D0" w:rsidRPr="67D4A506">
        <w:rPr>
          <w:rFonts w:cs="Arial"/>
          <w:color w:val="000000" w:themeColor="text1"/>
          <w:lang w:eastAsia="en-GB"/>
        </w:rPr>
        <w:t xml:space="preserve">TI </w:t>
      </w:r>
      <w:r w:rsidR="156FF905" w:rsidRPr="67D4A506">
        <w:rPr>
          <w:rFonts w:cs="Arial"/>
          <w:color w:val="000000" w:themeColor="text1"/>
          <w:lang w:eastAsia="en-GB"/>
        </w:rPr>
        <w:t xml:space="preserve">FPS </w:t>
      </w:r>
      <w:r w:rsidR="2CC8A7D0" w:rsidRPr="67D4A506">
        <w:rPr>
          <w:rFonts w:cs="Arial"/>
          <w:color w:val="000000" w:themeColor="text1"/>
          <w:lang w:eastAsia="en-GB"/>
        </w:rPr>
        <w:t xml:space="preserve">returns and Expenses and benefits forms </w:t>
      </w:r>
      <w:r w:rsidRPr="67D4A506">
        <w:rPr>
          <w:rFonts w:cs="Arial"/>
          <w:color w:val="000000" w:themeColor="text1"/>
          <w:lang w:eastAsia="en-GB"/>
        </w:rPr>
        <w:t xml:space="preserve">P11D </w:t>
      </w:r>
      <w:r w:rsidR="49A8FFB7" w:rsidRPr="67D4A506">
        <w:rPr>
          <w:rFonts w:cs="Arial"/>
          <w:color w:val="000000" w:themeColor="text1"/>
          <w:lang w:eastAsia="en-GB"/>
        </w:rPr>
        <w:t>and P11D(b)</w:t>
      </w:r>
    </w:p>
    <w:p w14:paraId="60C60C51" w14:textId="31756664" w:rsidR="008141F1" w:rsidRDefault="46164CE3" w:rsidP="00F1741A">
      <w:pPr>
        <w:pStyle w:val="BodyText"/>
        <w:numPr>
          <w:ilvl w:val="0"/>
          <w:numId w:val="8"/>
        </w:numPr>
        <w:rPr>
          <w:rFonts w:cs="Arial"/>
        </w:rPr>
      </w:pPr>
      <w:r w:rsidRPr="67D4A506">
        <w:rPr>
          <w:rFonts w:cs="Arial"/>
        </w:rPr>
        <w:t>PAYE r</w:t>
      </w:r>
      <w:r w:rsidR="008141F1" w:rsidRPr="67D4A506">
        <w:rPr>
          <w:rFonts w:cs="Arial"/>
        </w:rPr>
        <w:t>eference number</w:t>
      </w:r>
      <w:r w:rsidR="00811D71" w:rsidRPr="67D4A506">
        <w:rPr>
          <w:rFonts w:cs="Arial"/>
        </w:rPr>
        <w:t>s</w:t>
      </w:r>
      <w:r w:rsidR="00DC6130" w:rsidRPr="67D4A506">
        <w:rPr>
          <w:rFonts w:cs="Arial"/>
        </w:rPr>
        <w:t>, where not evident on</w:t>
      </w:r>
      <w:r w:rsidR="00811D71" w:rsidRPr="67D4A506">
        <w:rPr>
          <w:rFonts w:cs="Arial"/>
        </w:rPr>
        <w:t xml:space="preserve"> returns being provided</w:t>
      </w:r>
    </w:p>
    <w:p w14:paraId="6B801EDE" w14:textId="300D8734" w:rsidR="00AB2326" w:rsidRDefault="4C59988D" w:rsidP="00F1741A">
      <w:pPr>
        <w:pStyle w:val="BodyText"/>
        <w:numPr>
          <w:ilvl w:val="0"/>
          <w:numId w:val="8"/>
        </w:numPr>
        <w:rPr>
          <w:rFonts w:cs="Arial"/>
        </w:rPr>
      </w:pPr>
      <w:r w:rsidRPr="67D4A506">
        <w:rPr>
          <w:rFonts w:cs="Arial"/>
        </w:rPr>
        <w:t xml:space="preserve">Listing of </w:t>
      </w:r>
      <w:proofErr w:type="gramStart"/>
      <w:r w:rsidRPr="67D4A506">
        <w:rPr>
          <w:rFonts w:cs="Arial"/>
        </w:rPr>
        <w:t xml:space="preserve">all </w:t>
      </w:r>
      <w:r w:rsidR="001E4D24" w:rsidRPr="67D4A506">
        <w:rPr>
          <w:rFonts w:cs="Arial"/>
        </w:rPr>
        <w:t xml:space="preserve"> </w:t>
      </w:r>
      <w:r w:rsidR="0067260A" w:rsidRPr="67D4A506">
        <w:rPr>
          <w:rFonts w:cs="Arial"/>
        </w:rPr>
        <w:t>employees</w:t>
      </w:r>
      <w:proofErr w:type="gramEnd"/>
      <w:r w:rsidR="0067260A" w:rsidRPr="67D4A506">
        <w:rPr>
          <w:rFonts w:cs="Arial"/>
        </w:rPr>
        <w:t xml:space="preserve"> paid in the current fiscal year</w:t>
      </w:r>
      <w:r w:rsidR="001E4D24" w:rsidRPr="67D4A506">
        <w:rPr>
          <w:rFonts w:cs="Arial"/>
        </w:rPr>
        <w:t xml:space="preserve"> including:</w:t>
      </w:r>
    </w:p>
    <w:p w14:paraId="5C603D4C" w14:textId="77777777" w:rsidR="00C9418E" w:rsidRDefault="001E4D24" w:rsidP="00F1741A">
      <w:pPr>
        <w:pStyle w:val="BodyText"/>
        <w:numPr>
          <w:ilvl w:val="0"/>
          <w:numId w:val="10"/>
        </w:numPr>
        <w:spacing w:before="0" w:after="0"/>
        <w:rPr>
          <w:rFonts w:cs="Arial"/>
        </w:rPr>
      </w:pPr>
      <w:r w:rsidRPr="00C9418E">
        <w:rPr>
          <w:rFonts w:cs="Arial"/>
        </w:rPr>
        <w:t>Name</w:t>
      </w:r>
    </w:p>
    <w:p w14:paraId="5AE660F6" w14:textId="17F63BC9" w:rsidR="001E4D24" w:rsidRPr="00C9418E" w:rsidRDefault="001E4D24" w:rsidP="00F1741A">
      <w:pPr>
        <w:pStyle w:val="BodyText"/>
        <w:numPr>
          <w:ilvl w:val="0"/>
          <w:numId w:val="10"/>
        </w:numPr>
        <w:spacing w:before="0" w:after="0"/>
        <w:rPr>
          <w:rFonts w:cs="Arial"/>
        </w:rPr>
      </w:pPr>
      <w:r w:rsidRPr="00C9418E">
        <w:rPr>
          <w:rFonts w:cs="Arial"/>
        </w:rPr>
        <w:t>Address</w:t>
      </w:r>
    </w:p>
    <w:p w14:paraId="7CF56676" w14:textId="197DC6AB" w:rsidR="001E4D24" w:rsidRDefault="001E4D24" w:rsidP="00F1741A">
      <w:pPr>
        <w:pStyle w:val="BodyText"/>
        <w:numPr>
          <w:ilvl w:val="0"/>
          <w:numId w:val="10"/>
        </w:numPr>
        <w:spacing w:before="0" w:after="0"/>
        <w:rPr>
          <w:rFonts w:cs="Arial"/>
        </w:rPr>
      </w:pPr>
      <w:r>
        <w:rPr>
          <w:rFonts w:cs="Arial"/>
        </w:rPr>
        <w:t>Date of birth</w:t>
      </w:r>
    </w:p>
    <w:p w14:paraId="093B4E30" w14:textId="731C7E0C" w:rsidR="001E4D24" w:rsidRDefault="001E4D24" w:rsidP="00F1741A">
      <w:pPr>
        <w:pStyle w:val="BodyText"/>
        <w:numPr>
          <w:ilvl w:val="0"/>
          <w:numId w:val="10"/>
        </w:numPr>
        <w:spacing w:before="0" w:after="0"/>
        <w:rPr>
          <w:rFonts w:cs="Arial"/>
        </w:rPr>
      </w:pPr>
      <w:r>
        <w:rPr>
          <w:rFonts w:cs="Arial"/>
        </w:rPr>
        <w:t>Payroll number</w:t>
      </w:r>
    </w:p>
    <w:p w14:paraId="271C92B7" w14:textId="04537C3B" w:rsidR="00C9418E" w:rsidRDefault="00C9418E" w:rsidP="00F1741A">
      <w:pPr>
        <w:pStyle w:val="BodyText"/>
        <w:numPr>
          <w:ilvl w:val="0"/>
          <w:numId w:val="10"/>
        </w:numPr>
        <w:spacing w:before="0" w:after="0"/>
        <w:rPr>
          <w:rFonts w:cs="Arial"/>
        </w:rPr>
      </w:pPr>
      <w:r>
        <w:rPr>
          <w:rFonts w:cs="Arial"/>
        </w:rPr>
        <w:t>Salary/Hourly rates</w:t>
      </w:r>
    </w:p>
    <w:p w14:paraId="11D18947" w14:textId="3F542AE4" w:rsidR="004905D6" w:rsidRDefault="00AC3AF5" w:rsidP="00F1741A">
      <w:pPr>
        <w:pStyle w:val="BodyText"/>
        <w:numPr>
          <w:ilvl w:val="0"/>
          <w:numId w:val="10"/>
        </w:numPr>
        <w:spacing w:before="0" w:after="0"/>
        <w:rPr>
          <w:rFonts w:cs="Arial"/>
        </w:rPr>
      </w:pPr>
      <w:r>
        <w:rPr>
          <w:rFonts w:cs="Arial"/>
        </w:rPr>
        <w:lastRenderedPageBreak/>
        <w:t>Pay frequency</w:t>
      </w:r>
    </w:p>
    <w:p w14:paraId="1AFE4E03" w14:textId="339DAC18" w:rsidR="00AC3AF5" w:rsidRDefault="00AC3AF5" w:rsidP="00F1741A">
      <w:pPr>
        <w:pStyle w:val="BodyText"/>
        <w:numPr>
          <w:ilvl w:val="0"/>
          <w:numId w:val="10"/>
        </w:numPr>
        <w:spacing w:before="0" w:after="0"/>
        <w:rPr>
          <w:rFonts w:cs="Arial"/>
        </w:rPr>
      </w:pPr>
      <w:r>
        <w:rPr>
          <w:rFonts w:cs="Arial"/>
        </w:rPr>
        <w:t>Paid to date this fiscal year</w:t>
      </w:r>
    </w:p>
    <w:p w14:paraId="42DFDA8D" w14:textId="70FD703D" w:rsidR="00AC3AF5" w:rsidRDefault="00AC3AF5" w:rsidP="00F1741A">
      <w:pPr>
        <w:pStyle w:val="BodyText"/>
        <w:numPr>
          <w:ilvl w:val="0"/>
          <w:numId w:val="10"/>
        </w:numPr>
        <w:spacing w:before="0" w:after="0"/>
        <w:rPr>
          <w:rFonts w:cs="Arial"/>
        </w:rPr>
      </w:pPr>
      <w:r>
        <w:rPr>
          <w:rFonts w:cs="Arial"/>
        </w:rPr>
        <w:t>Tax deducted to date this fiscal year</w:t>
      </w:r>
    </w:p>
    <w:p w14:paraId="45C7D9AF" w14:textId="5A3C94C3" w:rsidR="001E1696" w:rsidRDefault="001E1696" w:rsidP="00F1741A">
      <w:pPr>
        <w:pStyle w:val="BodyText"/>
        <w:numPr>
          <w:ilvl w:val="0"/>
          <w:numId w:val="10"/>
        </w:numPr>
        <w:spacing w:before="0" w:after="0"/>
        <w:rPr>
          <w:rFonts w:cs="Arial"/>
        </w:rPr>
      </w:pPr>
      <w:r w:rsidRPr="67D4A506">
        <w:rPr>
          <w:rFonts w:cs="Arial"/>
        </w:rPr>
        <w:t>Period end last processed</w:t>
      </w:r>
      <w:r w:rsidR="336BF40C" w:rsidRPr="67D4A506">
        <w:rPr>
          <w:rFonts w:cs="Arial"/>
        </w:rPr>
        <w:t xml:space="preserve"> through RTI</w:t>
      </w:r>
    </w:p>
    <w:p w14:paraId="141BD8D7" w14:textId="684357F9" w:rsidR="006A47CC" w:rsidRDefault="006A47CC" w:rsidP="00F1741A">
      <w:pPr>
        <w:pStyle w:val="BodyText"/>
        <w:numPr>
          <w:ilvl w:val="0"/>
          <w:numId w:val="8"/>
        </w:numPr>
        <w:rPr>
          <w:rFonts w:cs="Arial"/>
        </w:rPr>
      </w:pPr>
      <w:r w:rsidRPr="67D4A506">
        <w:rPr>
          <w:rFonts w:cs="Arial"/>
        </w:rPr>
        <w:t xml:space="preserve">Details of any arrangements with </w:t>
      </w:r>
      <w:r w:rsidR="002B6F82" w:rsidRPr="67D4A506">
        <w:rPr>
          <w:rFonts w:cs="Arial"/>
        </w:rPr>
        <w:t>HMRC</w:t>
      </w:r>
      <w:r w:rsidRPr="67D4A506">
        <w:rPr>
          <w:rFonts w:cs="Arial"/>
        </w:rPr>
        <w:t xml:space="preserve"> </w:t>
      </w:r>
      <w:r w:rsidR="0824F570" w:rsidRPr="67D4A506">
        <w:rPr>
          <w:rFonts w:cs="Arial"/>
        </w:rPr>
        <w:t>such as PAYE Settlement Agre</w:t>
      </w:r>
      <w:r w:rsidR="20FEF487" w:rsidRPr="67D4A506">
        <w:rPr>
          <w:rFonts w:cs="Arial"/>
        </w:rPr>
        <w:t>e</w:t>
      </w:r>
      <w:r w:rsidR="0824F570" w:rsidRPr="67D4A506">
        <w:rPr>
          <w:rFonts w:cs="Arial"/>
        </w:rPr>
        <w:t xml:space="preserve">ments, </w:t>
      </w:r>
      <w:r w:rsidR="6DA75C42" w:rsidRPr="67D4A506">
        <w:rPr>
          <w:rFonts w:cs="Arial"/>
        </w:rPr>
        <w:t xml:space="preserve">Approval notices </w:t>
      </w:r>
      <w:r w:rsidR="5D8DF2DF" w:rsidRPr="67D4A506">
        <w:rPr>
          <w:rFonts w:cs="Arial"/>
        </w:rPr>
        <w:t>and Optional Remuneration arrangements</w:t>
      </w:r>
    </w:p>
    <w:p w14:paraId="40BE809F" w14:textId="4F4CB472" w:rsidR="5D8DF2DF" w:rsidRDefault="5D8DF2DF" w:rsidP="67D4A506">
      <w:pPr>
        <w:pStyle w:val="BodyText"/>
        <w:numPr>
          <w:ilvl w:val="0"/>
          <w:numId w:val="8"/>
        </w:numPr>
      </w:pPr>
      <w:r w:rsidRPr="67D4A506">
        <w:rPr>
          <w:rFonts w:cs="Arial"/>
        </w:rPr>
        <w:t>Details of any termination payments made within the last 12 months including calculations</w:t>
      </w:r>
    </w:p>
    <w:p w14:paraId="4F7133C4" w14:textId="294B6ABD" w:rsidR="00B30784" w:rsidRDefault="00B30784" w:rsidP="00F1741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 xml:space="preserve">Outstanding </w:t>
      </w:r>
      <w:r w:rsidR="002B6F82" w:rsidRPr="67D4A506">
        <w:rPr>
          <w:rFonts w:cs="Arial"/>
          <w:color w:val="000000" w:themeColor="text1"/>
          <w:lang w:eastAsia="en-GB"/>
        </w:rPr>
        <w:t>c</w:t>
      </w:r>
      <w:r w:rsidRPr="67D4A506">
        <w:rPr>
          <w:rFonts w:cs="Arial"/>
          <w:color w:val="000000" w:themeColor="text1"/>
          <w:lang w:eastAsia="en-GB"/>
        </w:rPr>
        <w:t xml:space="preserve">orrespondence with HMRC </w:t>
      </w:r>
    </w:p>
    <w:p w14:paraId="458A5204" w14:textId="1B049B14" w:rsidR="00EA3356" w:rsidRPr="001320BB" w:rsidRDefault="00EA3356" w:rsidP="00F1741A">
      <w:pPr>
        <w:pStyle w:val="BodyText"/>
        <w:rPr>
          <w:rFonts w:cs="Arial"/>
          <w:u w:val="single"/>
        </w:rPr>
      </w:pPr>
      <w:r>
        <w:rPr>
          <w:rFonts w:cs="Arial"/>
          <w:u w:val="single"/>
        </w:rPr>
        <w:t>VAT</w:t>
      </w:r>
    </w:p>
    <w:p w14:paraId="35E703B6" w14:textId="6183BA37" w:rsidR="003701E8" w:rsidRDefault="003701E8" w:rsidP="00F1741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VAT registration number</w:t>
      </w:r>
    </w:p>
    <w:p w14:paraId="72EB1719" w14:textId="6BAFD24E" w:rsidR="3B632529" w:rsidRDefault="003701E8" w:rsidP="3B632529">
      <w:pPr>
        <w:pStyle w:val="BodyText"/>
        <w:numPr>
          <w:ilvl w:val="0"/>
          <w:numId w:val="8"/>
        </w:numPr>
      </w:pPr>
      <w:r w:rsidRPr="67D4A506">
        <w:rPr>
          <w:rFonts w:cs="Arial"/>
        </w:rPr>
        <w:t xml:space="preserve">Details of any arrangements with </w:t>
      </w:r>
      <w:r w:rsidR="002B6F82" w:rsidRPr="67D4A506">
        <w:rPr>
          <w:rFonts w:cs="Arial"/>
        </w:rPr>
        <w:t>HMRC</w:t>
      </w:r>
      <w:r w:rsidRPr="67D4A506">
        <w:rPr>
          <w:rFonts w:cs="Arial"/>
        </w:rPr>
        <w:t xml:space="preserve"> </w:t>
      </w:r>
    </w:p>
    <w:p w14:paraId="3A3E81B2" w14:textId="12A72567" w:rsidR="003701E8" w:rsidRDefault="003701E8" w:rsidP="00F1741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 xml:space="preserve">Outstanding </w:t>
      </w:r>
      <w:r w:rsidR="00A60FB4" w:rsidRPr="67D4A506">
        <w:rPr>
          <w:rFonts w:cs="Arial"/>
          <w:color w:val="000000" w:themeColor="text1"/>
          <w:lang w:eastAsia="en-GB"/>
        </w:rPr>
        <w:t>c</w:t>
      </w:r>
      <w:r w:rsidRPr="67D4A506">
        <w:rPr>
          <w:rFonts w:cs="Arial"/>
          <w:color w:val="000000" w:themeColor="text1"/>
          <w:lang w:eastAsia="en-GB"/>
        </w:rPr>
        <w:t xml:space="preserve">orrespondence with HMRC </w:t>
      </w:r>
    </w:p>
    <w:p w14:paraId="15837E28" w14:textId="3E0DE3C0" w:rsidR="00EA3356" w:rsidRDefault="00EA3356" w:rsidP="00F1741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 xml:space="preserve">Copies of VAT returns </w:t>
      </w:r>
    </w:p>
    <w:p w14:paraId="14A25811" w14:textId="7D63CBCA" w:rsidR="00DE39D8" w:rsidRPr="001320BB" w:rsidRDefault="00DE39D8" w:rsidP="00F1741A">
      <w:pPr>
        <w:pStyle w:val="BodyText"/>
        <w:rPr>
          <w:rFonts w:cs="Arial"/>
          <w:u w:val="single"/>
        </w:rPr>
      </w:pPr>
      <w:r>
        <w:rPr>
          <w:rFonts w:cs="Arial"/>
          <w:u w:val="single"/>
        </w:rPr>
        <w:t>General</w:t>
      </w:r>
    </w:p>
    <w:p w14:paraId="18E31341" w14:textId="161B9C96" w:rsidR="003D0944" w:rsidRDefault="003D0944" w:rsidP="00F1741A">
      <w:pPr>
        <w:numPr>
          <w:ilvl w:val="0"/>
          <w:numId w:val="8"/>
        </w:numPr>
        <w:spacing w:before="100" w:beforeAutospacing="1" w:after="150"/>
        <w:jc w:val="left"/>
        <w:rPr>
          <w:rFonts w:cs="Arial"/>
          <w:color w:val="000000"/>
          <w:lang w:eastAsia="en-GB"/>
        </w:rPr>
      </w:pPr>
      <w:r w:rsidRPr="67D4A506">
        <w:rPr>
          <w:rFonts w:cs="Arial"/>
          <w:color w:val="000000" w:themeColor="text1"/>
          <w:lang w:eastAsia="en-GB"/>
        </w:rPr>
        <w:t>Statutory books and records including copies of forms 88(2), 288 and 287, Memorandum and Articles of Association and Certificate of Incorporation</w:t>
      </w:r>
    </w:p>
    <w:p w14:paraId="16993AD7" w14:textId="3E9348AC" w:rsidR="003D0944" w:rsidRDefault="003D0944" w:rsidP="00F1741A">
      <w:pPr>
        <w:pStyle w:val="BodyText"/>
        <w:numPr>
          <w:ilvl w:val="0"/>
          <w:numId w:val="8"/>
        </w:numPr>
        <w:rPr>
          <w:rFonts w:cs="Arial"/>
        </w:rPr>
      </w:pPr>
      <w:r w:rsidRPr="67D4A506">
        <w:rPr>
          <w:rFonts w:cs="Arial"/>
        </w:rPr>
        <w:t>Any other schedules or information, which you feel will be of assistance</w:t>
      </w:r>
    </w:p>
    <w:p w14:paraId="326F3022" w14:textId="77777777" w:rsidR="003D0944" w:rsidRPr="001320BB" w:rsidRDefault="003D0944" w:rsidP="00696C41">
      <w:pPr>
        <w:pStyle w:val="BodyText"/>
        <w:ind w:left="851"/>
        <w:rPr>
          <w:rFonts w:cs="Arial"/>
        </w:rPr>
      </w:pPr>
    </w:p>
    <w:p w14:paraId="669C53D0" w14:textId="77777777" w:rsidR="00E81122" w:rsidRPr="00490785" w:rsidRDefault="00E81122" w:rsidP="00490785"/>
    <w:sectPr w:rsidR="00E81122" w:rsidRPr="00490785" w:rsidSect="00A75371">
      <w:pgSz w:w="11907" w:h="16834" w:code="9"/>
      <w:pgMar w:top="1134" w:right="1134" w:bottom="709"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2E383" w14:textId="77777777" w:rsidR="001D6728" w:rsidRDefault="001D6728">
      <w:pPr>
        <w:spacing w:before="0" w:after="0"/>
      </w:pPr>
      <w:r>
        <w:separator/>
      </w:r>
    </w:p>
  </w:endnote>
  <w:endnote w:type="continuationSeparator" w:id="0">
    <w:p w14:paraId="103F4A51" w14:textId="77777777" w:rsidR="001D6728" w:rsidRDefault="001D67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2297C" w14:textId="77777777" w:rsidR="001D6728" w:rsidRDefault="001D6728">
      <w:pPr>
        <w:spacing w:before="0" w:after="0"/>
      </w:pPr>
      <w:r>
        <w:separator/>
      </w:r>
    </w:p>
  </w:footnote>
  <w:footnote w:type="continuationSeparator" w:id="0">
    <w:p w14:paraId="36B7C834" w14:textId="77777777" w:rsidR="001D6728" w:rsidRDefault="001D672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15:restartNumberingAfterBreak="0">
    <w:nsid w:val="059C5516"/>
    <w:multiLevelType w:val="hybridMultilevel"/>
    <w:tmpl w:val="FB604C6C"/>
    <w:lvl w:ilvl="0" w:tplc="4D80BBB0">
      <w:start w:val="1"/>
      <w:numFmt w:val="bullet"/>
      <w:pStyle w:val="bullet"/>
      <w:lvlText w:val=""/>
      <w:lvlJc w:val="left"/>
      <w:pPr>
        <w:tabs>
          <w:tab w:val="num" w:pos="1440"/>
        </w:tabs>
        <w:ind w:left="144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405EB"/>
    <w:multiLevelType w:val="hybridMultilevel"/>
    <w:tmpl w:val="9A74C41A"/>
    <w:lvl w:ilvl="0" w:tplc="6F22FD38">
      <w:start w:val="1"/>
      <w:numFmt w:val="lowerLetter"/>
      <w:lvlText w:val="%1)"/>
      <w:lvlJc w:val="left"/>
      <w:pPr>
        <w:ind w:left="680" w:hanging="6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C71C78"/>
    <w:multiLevelType w:val="hybridMultilevel"/>
    <w:tmpl w:val="38F46FB2"/>
    <w:lvl w:ilvl="0" w:tplc="FFFFFFFF">
      <w:start w:val="1"/>
      <w:numFmt w:val="decimal"/>
      <w:lvlText w:val="%1."/>
      <w:lvlJc w:val="left"/>
      <w:pPr>
        <w:tabs>
          <w:tab w:val="num" w:pos="851"/>
        </w:tabs>
        <w:ind w:left="851" w:hanging="851"/>
      </w:pPr>
      <w:rPr>
        <w:rFonts w:hint="default"/>
      </w:rPr>
    </w:lvl>
    <w:lvl w:ilvl="1" w:tplc="6C50CA0C">
      <w:start w:val="1"/>
      <w:numFmt w:val="lowerRoman"/>
      <w:lvlText w:val="(%2)"/>
      <w:lvlJc w:val="left"/>
      <w:pPr>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E627B84"/>
    <w:multiLevelType w:val="hybridMultilevel"/>
    <w:tmpl w:val="B7DCE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94111"/>
    <w:multiLevelType w:val="hybridMultilevel"/>
    <w:tmpl w:val="FA94C2C0"/>
    <w:lvl w:ilvl="0" w:tplc="511E7212">
      <w:start w:val="1"/>
      <w:numFmt w:val="decimal"/>
      <w:pStyle w:val="ListBullet"/>
      <w:lvlText w:val="%1."/>
      <w:legacy w:legacy="1" w:legacySpace="0" w:legacyIndent="283"/>
      <w:lvlJc w:val="left"/>
      <w:pPr>
        <w:ind w:left="283" w:hanging="283"/>
      </w:pPr>
    </w:lvl>
    <w:lvl w:ilvl="1" w:tplc="B88EC664">
      <w:numFmt w:val="decimal"/>
      <w:lvlText w:val=""/>
      <w:lvlJc w:val="left"/>
    </w:lvl>
    <w:lvl w:ilvl="2" w:tplc="9116A1CA">
      <w:numFmt w:val="decimal"/>
      <w:lvlText w:val=""/>
      <w:lvlJc w:val="left"/>
    </w:lvl>
    <w:lvl w:ilvl="3" w:tplc="3FD8C7C2">
      <w:numFmt w:val="decimal"/>
      <w:lvlText w:val=""/>
      <w:lvlJc w:val="left"/>
    </w:lvl>
    <w:lvl w:ilvl="4" w:tplc="E57C5E4A">
      <w:numFmt w:val="decimal"/>
      <w:lvlText w:val=""/>
      <w:lvlJc w:val="left"/>
    </w:lvl>
    <w:lvl w:ilvl="5" w:tplc="D842F276">
      <w:numFmt w:val="decimal"/>
      <w:lvlText w:val=""/>
      <w:lvlJc w:val="left"/>
    </w:lvl>
    <w:lvl w:ilvl="6" w:tplc="37DE8ACE">
      <w:numFmt w:val="decimal"/>
      <w:lvlText w:val=""/>
      <w:lvlJc w:val="left"/>
    </w:lvl>
    <w:lvl w:ilvl="7" w:tplc="6CAA2CD2">
      <w:numFmt w:val="decimal"/>
      <w:lvlText w:val=""/>
      <w:lvlJc w:val="left"/>
    </w:lvl>
    <w:lvl w:ilvl="8" w:tplc="FF482D82">
      <w:numFmt w:val="decimal"/>
      <w:lvlText w:val=""/>
      <w:lvlJc w:val="left"/>
    </w:lvl>
  </w:abstractNum>
  <w:abstractNum w:abstractNumId="5" w15:restartNumberingAfterBreak="0">
    <w:nsid w:val="4EC408D4"/>
    <w:multiLevelType w:val="hybridMultilevel"/>
    <w:tmpl w:val="78D0633C"/>
    <w:lvl w:ilvl="0" w:tplc="95660BCA">
      <w:start w:val="1"/>
      <w:numFmt w:val="decimal"/>
      <w:lvlText w:val="%1."/>
      <w:lvlJc w:val="left"/>
      <w:pPr>
        <w:ind w:left="1440" w:hanging="360"/>
      </w:pPr>
      <w:rPr>
        <w:rFonts w:ascii="Arial" w:hAnsi="Arial" w:hint="default"/>
        <w:b w:val="0"/>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CE20D67"/>
    <w:multiLevelType w:val="hybridMultilevel"/>
    <w:tmpl w:val="A15A9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21B6D"/>
    <w:multiLevelType w:val="hybridMultilevel"/>
    <w:tmpl w:val="538A3E24"/>
    <w:lvl w:ilvl="0" w:tplc="476698F6">
      <w:start w:val="1"/>
      <w:numFmt w:val="decimal"/>
      <w:lvlText w:val="o"/>
      <w:lvlJc w:val="left"/>
      <w:pPr>
        <w:tabs>
          <w:tab w:val="num" w:pos="840"/>
        </w:tabs>
        <w:ind w:left="840" w:hanging="360"/>
      </w:pPr>
      <w:rPr>
        <w:rFonts w:ascii="Courier New" w:hAnsi="Courier New" w:cs="Times New Roman" w:hint="default"/>
        <w:sz w:val="20"/>
      </w:rPr>
    </w:lvl>
    <w:lvl w:ilvl="1" w:tplc="8CE0056C">
      <w:start w:val="1"/>
      <w:numFmt w:val="bullet"/>
      <w:lvlText w:val="o"/>
      <w:lvlJc w:val="left"/>
      <w:pPr>
        <w:tabs>
          <w:tab w:val="num" w:pos="1440"/>
        </w:tabs>
        <w:ind w:left="1440" w:hanging="360"/>
      </w:pPr>
      <w:rPr>
        <w:rFonts w:ascii="Courier New" w:hAnsi="Courier New" w:cs="Times New Roman" w:hint="default"/>
        <w:sz w:val="20"/>
      </w:rPr>
    </w:lvl>
    <w:lvl w:ilvl="2" w:tplc="49A6B82E">
      <w:start w:val="1"/>
      <w:numFmt w:val="bullet"/>
      <w:lvlText w:val=""/>
      <w:lvlPicBulletId w:val="0"/>
      <w:lvlJc w:val="left"/>
      <w:pPr>
        <w:tabs>
          <w:tab w:val="num" w:pos="2160"/>
        </w:tabs>
        <w:ind w:left="2160" w:hanging="360"/>
      </w:pPr>
      <w:rPr>
        <w:rFonts w:ascii="Wingdings" w:hAnsi="Wingdings" w:hint="default"/>
        <w:sz w:val="20"/>
      </w:rPr>
    </w:lvl>
    <w:lvl w:ilvl="3" w:tplc="3A2AE098">
      <w:start w:val="1"/>
      <w:numFmt w:val="bullet"/>
      <w:lvlText w:val=""/>
      <w:lvlJc w:val="left"/>
      <w:pPr>
        <w:tabs>
          <w:tab w:val="num" w:pos="2880"/>
        </w:tabs>
        <w:ind w:left="2880" w:hanging="360"/>
      </w:pPr>
      <w:rPr>
        <w:rFonts w:ascii="Wingdings" w:hAnsi="Wingdings" w:hint="default"/>
        <w:sz w:val="20"/>
      </w:rPr>
    </w:lvl>
    <w:lvl w:ilvl="4" w:tplc="C5A876A0">
      <w:start w:val="1"/>
      <w:numFmt w:val="bullet"/>
      <w:lvlText w:val=""/>
      <w:lvlJc w:val="left"/>
      <w:pPr>
        <w:tabs>
          <w:tab w:val="num" w:pos="3600"/>
        </w:tabs>
        <w:ind w:left="3600" w:hanging="360"/>
      </w:pPr>
      <w:rPr>
        <w:rFonts w:ascii="Wingdings" w:hAnsi="Wingdings" w:hint="default"/>
        <w:sz w:val="20"/>
      </w:rPr>
    </w:lvl>
    <w:lvl w:ilvl="5" w:tplc="488A6C3A">
      <w:start w:val="1"/>
      <w:numFmt w:val="bullet"/>
      <w:lvlText w:val=""/>
      <w:lvlJc w:val="left"/>
      <w:pPr>
        <w:tabs>
          <w:tab w:val="num" w:pos="4320"/>
        </w:tabs>
        <w:ind w:left="4320" w:hanging="360"/>
      </w:pPr>
      <w:rPr>
        <w:rFonts w:ascii="Wingdings" w:hAnsi="Wingdings" w:hint="default"/>
        <w:sz w:val="20"/>
      </w:rPr>
    </w:lvl>
    <w:lvl w:ilvl="6" w:tplc="497C7266">
      <w:start w:val="1"/>
      <w:numFmt w:val="bullet"/>
      <w:lvlText w:val=""/>
      <w:lvlJc w:val="left"/>
      <w:pPr>
        <w:tabs>
          <w:tab w:val="num" w:pos="5040"/>
        </w:tabs>
        <w:ind w:left="5040" w:hanging="360"/>
      </w:pPr>
      <w:rPr>
        <w:rFonts w:ascii="Wingdings" w:hAnsi="Wingdings" w:hint="default"/>
        <w:sz w:val="20"/>
      </w:rPr>
    </w:lvl>
    <w:lvl w:ilvl="7" w:tplc="442A5FB6">
      <w:start w:val="1"/>
      <w:numFmt w:val="bullet"/>
      <w:lvlText w:val=""/>
      <w:lvlJc w:val="left"/>
      <w:pPr>
        <w:tabs>
          <w:tab w:val="num" w:pos="5760"/>
        </w:tabs>
        <w:ind w:left="5760" w:hanging="360"/>
      </w:pPr>
      <w:rPr>
        <w:rFonts w:ascii="Wingdings" w:hAnsi="Wingdings" w:hint="default"/>
        <w:sz w:val="20"/>
      </w:rPr>
    </w:lvl>
    <w:lvl w:ilvl="8" w:tplc="45763BF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57D01"/>
    <w:multiLevelType w:val="hybridMultilevel"/>
    <w:tmpl w:val="EA4E4922"/>
    <w:lvl w:ilvl="0" w:tplc="08090001">
      <w:start w:val="1"/>
      <w:numFmt w:val="bullet"/>
      <w:lvlText w:val=""/>
      <w:lvlJc w:val="left"/>
      <w:pPr>
        <w:tabs>
          <w:tab w:val="num" w:pos="2291"/>
        </w:tabs>
        <w:ind w:left="2291" w:hanging="851"/>
      </w:pPr>
      <w:rPr>
        <w:rFonts w:ascii="Symbol" w:hAnsi="Symbol"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6CFC4C8C"/>
    <w:multiLevelType w:val="hybridMultilevel"/>
    <w:tmpl w:val="452E466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9524F"/>
    <w:multiLevelType w:val="hybridMultilevel"/>
    <w:tmpl w:val="37A0582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54615"/>
    <w:multiLevelType w:val="hybridMultilevel"/>
    <w:tmpl w:val="B45CDE8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1"/>
  </w:num>
  <w:num w:numId="6">
    <w:abstractNumId w:val="10"/>
  </w:num>
  <w:num w:numId="7">
    <w:abstractNumId w:val="9"/>
  </w:num>
  <w:num w:numId="8">
    <w:abstractNumId w:val="2"/>
  </w:num>
  <w:num w:numId="9">
    <w:abstractNumId w:val="7"/>
  </w:num>
  <w:num w:numId="10">
    <w:abstractNumId w:val="8"/>
  </w:num>
  <w:num w:numId="11">
    <w:abstractNumId w:val="1"/>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1E"/>
    <w:rsid w:val="0000202A"/>
    <w:rsid w:val="000109F1"/>
    <w:rsid w:val="0002036C"/>
    <w:rsid w:val="00020998"/>
    <w:rsid w:val="0002353E"/>
    <w:rsid w:val="000279C4"/>
    <w:rsid w:val="000306BF"/>
    <w:rsid w:val="00033050"/>
    <w:rsid w:val="00040AE0"/>
    <w:rsid w:val="000534A0"/>
    <w:rsid w:val="0005782C"/>
    <w:rsid w:val="0006658C"/>
    <w:rsid w:val="00073D29"/>
    <w:rsid w:val="00082E93"/>
    <w:rsid w:val="00084316"/>
    <w:rsid w:val="00084538"/>
    <w:rsid w:val="00084E3A"/>
    <w:rsid w:val="0009660F"/>
    <w:rsid w:val="000D1276"/>
    <w:rsid w:val="0010062A"/>
    <w:rsid w:val="001404F0"/>
    <w:rsid w:val="00147F14"/>
    <w:rsid w:val="0016677A"/>
    <w:rsid w:val="001717F9"/>
    <w:rsid w:val="00172977"/>
    <w:rsid w:val="001B730B"/>
    <w:rsid w:val="001D6728"/>
    <w:rsid w:val="001E1696"/>
    <w:rsid w:val="001E4D24"/>
    <w:rsid w:val="00221717"/>
    <w:rsid w:val="00222E31"/>
    <w:rsid w:val="00235BC3"/>
    <w:rsid w:val="00246983"/>
    <w:rsid w:val="002613EB"/>
    <w:rsid w:val="00262A70"/>
    <w:rsid w:val="002675CF"/>
    <w:rsid w:val="00272B71"/>
    <w:rsid w:val="002862D0"/>
    <w:rsid w:val="00286BE1"/>
    <w:rsid w:val="002A4FCD"/>
    <w:rsid w:val="002B6F82"/>
    <w:rsid w:val="002D6BA5"/>
    <w:rsid w:val="002F6D83"/>
    <w:rsid w:val="00301CC1"/>
    <w:rsid w:val="00317015"/>
    <w:rsid w:val="00321DC3"/>
    <w:rsid w:val="00327C44"/>
    <w:rsid w:val="00342032"/>
    <w:rsid w:val="003616EA"/>
    <w:rsid w:val="003701E8"/>
    <w:rsid w:val="00387D9B"/>
    <w:rsid w:val="003C7BB6"/>
    <w:rsid w:val="003D07E2"/>
    <w:rsid w:val="003D0944"/>
    <w:rsid w:val="003D2439"/>
    <w:rsid w:val="003D6489"/>
    <w:rsid w:val="003E18EF"/>
    <w:rsid w:val="004045DE"/>
    <w:rsid w:val="004308DC"/>
    <w:rsid w:val="00437FA7"/>
    <w:rsid w:val="00447C45"/>
    <w:rsid w:val="0045442F"/>
    <w:rsid w:val="00466C9E"/>
    <w:rsid w:val="004905D6"/>
    <w:rsid w:val="00490785"/>
    <w:rsid w:val="004D2919"/>
    <w:rsid w:val="004D5184"/>
    <w:rsid w:val="004F55AA"/>
    <w:rsid w:val="005059DE"/>
    <w:rsid w:val="005400A9"/>
    <w:rsid w:val="00546F32"/>
    <w:rsid w:val="005570C4"/>
    <w:rsid w:val="005A04ED"/>
    <w:rsid w:val="005B6451"/>
    <w:rsid w:val="005C2EF2"/>
    <w:rsid w:val="005D1BA8"/>
    <w:rsid w:val="005E10EB"/>
    <w:rsid w:val="006008D4"/>
    <w:rsid w:val="00615E37"/>
    <w:rsid w:val="006175ED"/>
    <w:rsid w:val="00636288"/>
    <w:rsid w:val="0064105E"/>
    <w:rsid w:val="006526BE"/>
    <w:rsid w:val="006557FA"/>
    <w:rsid w:val="00655BF0"/>
    <w:rsid w:val="0066136F"/>
    <w:rsid w:val="0066615E"/>
    <w:rsid w:val="0067260A"/>
    <w:rsid w:val="00672CB8"/>
    <w:rsid w:val="00673CC0"/>
    <w:rsid w:val="006772AF"/>
    <w:rsid w:val="006923C0"/>
    <w:rsid w:val="00696C41"/>
    <w:rsid w:val="006A47CC"/>
    <w:rsid w:val="006A6C53"/>
    <w:rsid w:val="006B3EAA"/>
    <w:rsid w:val="006C1E53"/>
    <w:rsid w:val="00747DF8"/>
    <w:rsid w:val="0077163B"/>
    <w:rsid w:val="00781F43"/>
    <w:rsid w:val="007A0DCA"/>
    <w:rsid w:val="007A5B8D"/>
    <w:rsid w:val="007B30D4"/>
    <w:rsid w:val="007B45F6"/>
    <w:rsid w:val="007B5339"/>
    <w:rsid w:val="007D0F45"/>
    <w:rsid w:val="007E5926"/>
    <w:rsid w:val="007F0DD1"/>
    <w:rsid w:val="00801B11"/>
    <w:rsid w:val="00806445"/>
    <w:rsid w:val="00807F0C"/>
    <w:rsid w:val="00811D71"/>
    <w:rsid w:val="00812EFE"/>
    <w:rsid w:val="008141F1"/>
    <w:rsid w:val="008233C4"/>
    <w:rsid w:val="00841114"/>
    <w:rsid w:val="0085680E"/>
    <w:rsid w:val="00896515"/>
    <w:rsid w:val="00897B08"/>
    <w:rsid w:val="008A05AC"/>
    <w:rsid w:val="008A2664"/>
    <w:rsid w:val="008A5D02"/>
    <w:rsid w:val="008B5DE5"/>
    <w:rsid w:val="008F6645"/>
    <w:rsid w:val="008F6A28"/>
    <w:rsid w:val="00913844"/>
    <w:rsid w:val="00927799"/>
    <w:rsid w:val="00943CB2"/>
    <w:rsid w:val="0094703D"/>
    <w:rsid w:val="009620A9"/>
    <w:rsid w:val="0096634B"/>
    <w:rsid w:val="00966F1F"/>
    <w:rsid w:val="00982488"/>
    <w:rsid w:val="009924EA"/>
    <w:rsid w:val="009A194C"/>
    <w:rsid w:val="009A71A4"/>
    <w:rsid w:val="009D30EB"/>
    <w:rsid w:val="009F3BD5"/>
    <w:rsid w:val="00A265AA"/>
    <w:rsid w:val="00A32899"/>
    <w:rsid w:val="00A44B5D"/>
    <w:rsid w:val="00A60FB4"/>
    <w:rsid w:val="00A75371"/>
    <w:rsid w:val="00A916F3"/>
    <w:rsid w:val="00A92448"/>
    <w:rsid w:val="00AB2326"/>
    <w:rsid w:val="00AB2752"/>
    <w:rsid w:val="00AC3AF5"/>
    <w:rsid w:val="00B0185D"/>
    <w:rsid w:val="00B119C7"/>
    <w:rsid w:val="00B30784"/>
    <w:rsid w:val="00B461A9"/>
    <w:rsid w:val="00B758DC"/>
    <w:rsid w:val="00B92BA1"/>
    <w:rsid w:val="00BB02A8"/>
    <w:rsid w:val="00BF6702"/>
    <w:rsid w:val="00C037B6"/>
    <w:rsid w:val="00C13BA5"/>
    <w:rsid w:val="00C459D0"/>
    <w:rsid w:val="00C47242"/>
    <w:rsid w:val="00C6371C"/>
    <w:rsid w:val="00C810CB"/>
    <w:rsid w:val="00C9418E"/>
    <w:rsid w:val="00CB1385"/>
    <w:rsid w:val="00CE31A3"/>
    <w:rsid w:val="00CE6C09"/>
    <w:rsid w:val="00CF4D4A"/>
    <w:rsid w:val="00CF7A19"/>
    <w:rsid w:val="00D11EA5"/>
    <w:rsid w:val="00D2388C"/>
    <w:rsid w:val="00D27B6D"/>
    <w:rsid w:val="00D32611"/>
    <w:rsid w:val="00D735BC"/>
    <w:rsid w:val="00D76598"/>
    <w:rsid w:val="00DB3236"/>
    <w:rsid w:val="00DC6130"/>
    <w:rsid w:val="00DD17F7"/>
    <w:rsid w:val="00DD2AFB"/>
    <w:rsid w:val="00DE39D8"/>
    <w:rsid w:val="00DE3CD8"/>
    <w:rsid w:val="00DE4719"/>
    <w:rsid w:val="00E2281E"/>
    <w:rsid w:val="00E3560D"/>
    <w:rsid w:val="00E3796C"/>
    <w:rsid w:val="00E56F31"/>
    <w:rsid w:val="00E605D8"/>
    <w:rsid w:val="00E62717"/>
    <w:rsid w:val="00E707A1"/>
    <w:rsid w:val="00E73FB0"/>
    <w:rsid w:val="00E81122"/>
    <w:rsid w:val="00E97114"/>
    <w:rsid w:val="00EA3356"/>
    <w:rsid w:val="00EB29E3"/>
    <w:rsid w:val="00EE0FC3"/>
    <w:rsid w:val="00F11444"/>
    <w:rsid w:val="00F1741A"/>
    <w:rsid w:val="00F3169D"/>
    <w:rsid w:val="00F3591E"/>
    <w:rsid w:val="00F57CC7"/>
    <w:rsid w:val="00F660B6"/>
    <w:rsid w:val="00FF1E94"/>
    <w:rsid w:val="0237B7CA"/>
    <w:rsid w:val="02FEEDB0"/>
    <w:rsid w:val="08079CE9"/>
    <w:rsid w:val="0824F570"/>
    <w:rsid w:val="0F5F5170"/>
    <w:rsid w:val="156FF905"/>
    <w:rsid w:val="20FEF487"/>
    <w:rsid w:val="24B131F4"/>
    <w:rsid w:val="2CAC11BB"/>
    <w:rsid w:val="2CC8A7D0"/>
    <w:rsid w:val="3218F428"/>
    <w:rsid w:val="336BF40C"/>
    <w:rsid w:val="3B632529"/>
    <w:rsid w:val="46164CE3"/>
    <w:rsid w:val="49A8FFB7"/>
    <w:rsid w:val="4C59988D"/>
    <w:rsid w:val="4CD64927"/>
    <w:rsid w:val="554EF80D"/>
    <w:rsid w:val="5D8DF2DF"/>
    <w:rsid w:val="5E9142D1"/>
    <w:rsid w:val="66F82D6D"/>
    <w:rsid w:val="67D4A506"/>
    <w:rsid w:val="6A17C789"/>
    <w:rsid w:val="6DA75C42"/>
    <w:rsid w:val="72F948D0"/>
    <w:rsid w:val="79DBFC4E"/>
    <w:rsid w:val="7A1263CC"/>
    <w:rsid w:val="7F15B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7F3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4A"/>
    <w:pPr>
      <w:spacing w:before="120" w:after="120"/>
      <w:jc w:val="both"/>
    </w:pPr>
    <w:rPr>
      <w:rFonts w:ascii="Arial" w:hAnsi="Arial"/>
      <w:lang w:eastAsia="en-US"/>
    </w:rPr>
  </w:style>
  <w:style w:type="paragraph" w:styleId="Heading1">
    <w:name w:val="heading 1"/>
    <w:basedOn w:val="Normal"/>
    <w:next w:val="BodyText"/>
    <w:qFormat/>
    <w:pPr>
      <w:keepNext/>
      <w:keepLines/>
      <w:tabs>
        <w:tab w:val="left" w:pos="1080"/>
      </w:tabs>
      <w:spacing w:before="360"/>
      <w:jc w:val="left"/>
      <w:outlineLvl w:val="0"/>
    </w:pPr>
    <w:rPr>
      <w:b/>
      <w:caps/>
      <w:kern w:val="28"/>
      <w:sz w:val="28"/>
    </w:rPr>
  </w:style>
  <w:style w:type="paragraph" w:styleId="Heading2">
    <w:name w:val="heading 2"/>
    <w:basedOn w:val="Heading1"/>
    <w:next w:val="BodyText"/>
    <w:qFormat/>
    <w:pPr>
      <w:tabs>
        <w:tab w:val="clear" w:pos="1080"/>
        <w:tab w:val="left" w:pos="1134"/>
      </w:tabs>
      <w:spacing w:before="120"/>
      <w:outlineLvl w:val="1"/>
    </w:pPr>
    <w:rPr>
      <w:caps w:val="0"/>
    </w:rPr>
  </w:style>
  <w:style w:type="paragraph" w:styleId="Heading3">
    <w:name w:val="heading 3"/>
    <w:basedOn w:val="Heading2"/>
    <w:next w:val="BodyText"/>
    <w:qFormat/>
    <w:pPr>
      <w:ind w:left="1134" w:hanging="1134"/>
      <w:outlineLvl w:val="2"/>
    </w:pPr>
    <w:rPr>
      <w:i/>
    </w:rPr>
  </w:style>
  <w:style w:type="paragraph" w:styleId="Heading4">
    <w:name w:val="heading 4"/>
    <w:basedOn w:val="Heading3"/>
    <w:next w:val="BodyText"/>
    <w:qFormat/>
    <w:pPr>
      <w:outlineLvl w:val="3"/>
    </w:pPr>
    <w:rPr>
      <w:b w:val="0"/>
      <w:u w:val="single"/>
    </w:rPr>
  </w:style>
  <w:style w:type="paragraph" w:styleId="Heading5">
    <w:name w:val="heading 5"/>
    <w:basedOn w:val="Heading4"/>
    <w:next w:val="BodyText"/>
    <w:qFormat/>
    <w:pPr>
      <w:ind w:left="0" w:firstLine="0"/>
      <w:outlineLvl w:val="4"/>
    </w:pPr>
    <w:rPr>
      <w:b/>
      <w:i w:val="0"/>
      <w:sz w:val="22"/>
      <w:u w:val="none"/>
    </w:rPr>
  </w:style>
  <w:style w:type="paragraph" w:styleId="Heading6">
    <w:name w:val="heading 6"/>
    <w:basedOn w:val="Heading5"/>
    <w:next w:val="Normal"/>
    <w:qFormat/>
    <w:pPr>
      <w:tabs>
        <w:tab w:val="clear" w:pos="1134"/>
      </w:tabs>
      <w:outlineLvl w:val="5"/>
    </w:pPr>
    <w:rPr>
      <w:i/>
    </w:rPr>
  </w:style>
  <w:style w:type="paragraph" w:styleId="Heading7">
    <w:name w:val="heading 7"/>
    <w:basedOn w:val="Heading6"/>
    <w:next w:val="BodyText"/>
    <w:qFormat/>
    <w:pPr>
      <w:outlineLvl w:val="6"/>
    </w:pPr>
    <w:rPr>
      <w:b w:val="0"/>
      <w:u w:val="single"/>
    </w:rPr>
  </w:style>
  <w:style w:type="paragraph" w:styleId="Heading8">
    <w:name w:val="heading 8"/>
    <w:basedOn w:val="Heading7"/>
    <w:next w:val="Normal"/>
    <w:qFormat/>
    <w:pPr>
      <w:outlineLvl w:val="7"/>
    </w:pPr>
    <w:rPr>
      <w:u w:val="none"/>
    </w:rPr>
  </w:style>
  <w:style w:type="paragraph" w:styleId="Heading9">
    <w:name w:val="heading 9"/>
    <w:basedOn w:val="Heading8"/>
    <w:next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before="120" w:after="120"/>
      <w:jc w:val="both"/>
    </w:pPr>
    <w:rPr>
      <w:rFonts w:ascii="Arial" w:hAnsi="Arial"/>
      <w:lang w:eastAsia="en-US"/>
    </w:rPr>
  </w:style>
  <w:style w:type="paragraph" w:styleId="Header">
    <w:name w:val="header"/>
    <w:basedOn w:val="Normal"/>
    <w:semiHidden/>
    <w:pPr>
      <w:tabs>
        <w:tab w:val="center" w:pos="4153"/>
        <w:tab w:val="right" w:pos="8306"/>
      </w:tabs>
    </w:pPr>
    <w:rPr>
      <w:i/>
      <w:caps/>
    </w:rPr>
  </w:style>
  <w:style w:type="paragraph" w:customStyle="1" w:styleId="bullet">
    <w:name w:val="bullet"/>
    <w:basedOn w:val="Normal"/>
    <w:pPr>
      <w:numPr>
        <w:numId w:val="1"/>
      </w:numPr>
      <w:tabs>
        <w:tab w:val="clear" w:pos="1440"/>
        <w:tab w:val="left" w:pos="1800"/>
      </w:tabs>
      <w:spacing w:before="0"/>
      <w:ind w:left="1800" w:hanging="720"/>
    </w:pPr>
    <w:rPr>
      <w:snapToGrid w:val="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Bullet">
    <w:name w:val="List Bullet"/>
    <w:basedOn w:val="BodyText"/>
    <w:next w:val="BodyText"/>
    <w:semiHidden/>
    <w:pPr>
      <w:numPr>
        <w:numId w:val="2"/>
      </w:numPr>
      <w:spacing w:before="0"/>
    </w:pPr>
  </w:style>
  <w:style w:type="paragraph" w:styleId="TOC1">
    <w:name w:val="toc 1"/>
    <w:basedOn w:val="Normal"/>
    <w:next w:val="Normal"/>
    <w:semiHidden/>
    <w:pPr>
      <w:tabs>
        <w:tab w:val="left" w:pos="432"/>
        <w:tab w:val="right" w:pos="8306"/>
      </w:tabs>
      <w:spacing w:before="360"/>
    </w:pPr>
    <w:rPr>
      <w:b/>
      <w:caps/>
      <w:sz w:val="24"/>
    </w:rPr>
  </w:style>
  <w:style w:type="paragraph" w:styleId="TOC2">
    <w:name w:val="toc 2"/>
    <w:basedOn w:val="Normal"/>
    <w:next w:val="Normal"/>
    <w:semiHidden/>
    <w:pPr>
      <w:tabs>
        <w:tab w:val="left" w:pos="1440"/>
        <w:tab w:val="right" w:pos="8364"/>
      </w:tabs>
      <w:spacing w:before="0" w:after="0"/>
      <w:ind w:left="426"/>
      <w:jc w:val="left"/>
    </w:pPr>
    <w:rPr>
      <w:rFonts w:cs="Arial"/>
      <w:b/>
    </w:rPr>
  </w:style>
  <w:style w:type="paragraph" w:styleId="BalloonText">
    <w:name w:val="Balloon Text"/>
    <w:basedOn w:val="Normal"/>
    <w:link w:val="BalloonTextChar"/>
    <w:uiPriority w:val="99"/>
    <w:semiHidden/>
    <w:unhideWhenUsed/>
    <w:rsid w:val="00490785"/>
    <w:pPr>
      <w:spacing w:before="0" w:after="0"/>
    </w:pPr>
    <w:rPr>
      <w:rFonts w:ascii="Segoe UI" w:hAnsi="Segoe UI" w:cs="Segoe UI"/>
      <w:sz w:val="18"/>
      <w:szCs w:val="18"/>
    </w:rPr>
  </w:style>
  <w:style w:type="paragraph" w:styleId="TOC3">
    <w:name w:val="toc 3"/>
    <w:basedOn w:val="Normal"/>
    <w:next w:val="Normal"/>
    <w:semiHidden/>
    <w:pPr>
      <w:tabs>
        <w:tab w:val="left" w:pos="1418"/>
        <w:tab w:val="right" w:pos="8364"/>
      </w:tabs>
      <w:spacing w:before="0" w:after="0"/>
      <w:ind w:left="426" w:right="142"/>
      <w:jc w:val="left"/>
    </w:pPr>
  </w:style>
  <w:style w:type="paragraph" w:styleId="TOC4">
    <w:name w:val="toc 4"/>
    <w:basedOn w:val="Normal"/>
    <w:next w:val="Normal"/>
    <w:autoRedefine/>
    <w:semiHidden/>
    <w:pPr>
      <w:tabs>
        <w:tab w:val="left" w:pos="1418"/>
        <w:tab w:val="right" w:pos="8364"/>
      </w:tabs>
      <w:spacing w:before="0" w:after="0"/>
      <w:ind w:left="426"/>
    </w:pPr>
    <w:rPr>
      <w:i/>
    </w:rPr>
  </w:style>
  <w:style w:type="character" w:customStyle="1" w:styleId="BalloonTextChar">
    <w:name w:val="Balloon Text Char"/>
    <w:basedOn w:val="DefaultParagraphFont"/>
    <w:link w:val="BalloonText"/>
    <w:uiPriority w:val="99"/>
    <w:semiHidden/>
    <w:rsid w:val="00490785"/>
    <w:rPr>
      <w:rFonts w:ascii="Segoe UI" w:hAnsi="Segoe UI" w:cs="Segoe UI"/>
      <w:sz w:val="18"/>
      <w:szCs w:val="18"/>
      <w:lang w:eastAsia="en-US"/>
    </w:rPr>
  </w:style>
  <w:style w:type="character" w:styleId="PlaceholderText">
    <w:name w:val="Placeholder Text"/>
    <w:basedOn w:val="DefaultParagraphFont"/>
    <w:uiPriority w:val="99"/>
    <w:semiHidden/>
    <w:rsid w:val="00636288"/>
    <w:rPr>
      <w:color w:val="808080"/>
    </w:rPr>
  </w:style>
  <w:style w:type="paragraph" w:styleId="ListParagraph">
    <w:name w:val="List Paragraph"/>
    <w:basedOn w:val="Normal"/>
    <w:uiPriority w:val="34"/>
    <w:qFormat/>
    <w:rsid w:val="00636288"/>
    <w:pPr>
      <w:ind w:left="720"/>
      <w:contextualSpacing/>
    </w:pPr>
  </w:style>
  <w:style w:type="character" w:customStyle="1" w:styleId="BodyTextChar">
    <w:name w:val="Body Text Char"/>
    <w:basedOn w:val="DefaultParagraphFont"/>
    <w:link w:val="BodyText"/>
    <w:rsid w:val="00D76598"/>
    <w:rPr>
      <w:rFonts w:ascii="Arial" w:hAnsi="Arial"/>
      <w:lang w:eastAsia="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7A1"/>
    <w:rPr>
      <w:b/>
      <w:bCs/>
    </w:rPr>
  </w:style>
  <w:style w:type="character" w:customStyle="1" w:styleId="CommentSubjectChar">
    <w:name w:val="Comment Subject Char"/>
    <w:basedOn w:val="CommentTextChar"/>
    <w:link w:val="CommentSubject"/>
    <w:uiPriority w:val="99"/>
    <w:semiHidden/>
    <w:rsid w:val="00E707A1"/>
    <w:rPr>
      <w:rFonts w:ascii="Arial" w:hAnsi="Arial"/>
      <w:b/>
      <w:bCs/>
      <w:lang w:eastAsia="en-US"/>
    </w:rPr>
  </w:style>
  <w:style w:type="table" w:styleId="TableGrid">
    <w:name w:val="Table Grid"/>
    <w:basedOn w:val="TableNormal"/>
    <w:uiPriority w:val="59"/>
    <w:rsid w:val="008F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604580">
      <w:bodyDiv w:val="1"/>
      <w:marLeft w:val="0"/>
      <w:marRight w:val="0"/>
      <w:marTop w:val="0"/>
      <w:marBottom w:val="0"/>
      <w:divBdr>
        <w:top w:val="none" w:sz="0" w:space="0" w:color="auto"/>
        <w:left w:val="none" w:sz="0" w:space="0" w:color="auto"/>
        <w:bottom w:val="none" w:sz="0" w:space="0" w:color="auto"/>
        <w:right w:val="none" w:sz="0" w:space="0" w:color="auto"/>
      </w:divBdr>
    </w:div>
    <w:div w:id="16046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70E97089B7455DB707CDA5A3475D0E"/>
        <w:category>
          <w:name w:val="General"/>
          <w:gallery w:val="placeholder"/>
        </w:category>
        <w:types>
          <w:type w:val="bbPlcHdr"/>
        </w:types>
        <w:behaviors>
          <w:behavior w:val="content"/>
        </w:behaviors>
        <w:guid w:val="{87483BC7-CE1B-4301-8F7C-07E32B0288E1}"/>
      </w:docPartPr>
      <w:docPartBody>
        <w:p w:rsidR="00000606" w:rsidRDefault="000B4C3C" w:rsidP="000B4C3C">
          <w:pPr>
            <w:pStyle w:val="4D70E97089B7455DB707CDA5A3475D0E2"/>
          </w:pPr>
          <w:r w:rsidRPr="00BF6702">
            <w:rPr>
              <w:rStyle w:val="PlaceholderText"/>
              <w:b/>
              <w:bCs/>
            </w:rPr>
            <w:t>Click or tap here to enter text.</w:t>
          </w:r>
        </w:p>
      </w:docPartBody>
    </w:docPart>
    <w:docPart>
      <w:docPartPr>
        <w:name w:val="B9C277E7EA8346EA86DBA4F4C318D3D2"/>
        <w:category>
          <w:name w:val="General"/>
          <w:gallery w:val="placeholder"/>
        </w:category>
        <w:types>
          <w:type w:val="bbPlcHdr"/>
        </w:types>
        <w:behaviors>
          <w:behavior w:val="content"/>
        </w:behaviors>
        <w:guid w:val="{5ECA8A04-BC58-4EC9-A824-876691C7D181}"/>
      </w:docPartPr>
      <w:docPartBody>
        <w:p w:rsidR="00000606" w:rsidRDefault="000B4C3C" w:rsidP="000B4C3C">
          <w:pPr>
            <w:pStyle w:val="B9C277E7EA8346EA86DBA4F4C318D3D21"/>
          </w:pPr>
          <w:r w:rsidRPr="00BB1F3F">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BA521D9-32AA-412D-BC7B-8FDCAF86A483}"/>
      </w:docPartPr>
      <w:docPartBody>
        <w:p w:rsidR="000B4C3C" w:rsidRDefault="00546F32">
          <w:r w:rsidRPr="006C27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4F"/>
    <w:rsid w:val="00000606"/>
    <w:rsid w:val="000B4C3C"/>
    <w:rsid w:val="001153DB"/>
    <w:rsid w:val="00262A70"/>
    <w:rsid w:val="00546F32"/>
    <w:rsid w:val="00755A99"/>
    <w:rsid w:val="0080187B"/>
    <w:rsid w:val="0096098F"/>
    <w:rsid w:val="00983D17"/>
    <w:rsid w:val="00A7412F"/>
    <w:rsid w:val="00DA3F4F"/>
    <w:rsid w:val="00DC1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C3C"/>
    <w:rPr>
      <w:color w:val="808080"/>
    </w:rPr>
  </w:style>
  <w:style w:type="paragraph" w:customStyle="1" w:styleId="4D70E97089B7455DB707CDA5A3475D0E2">
    <w:name w:val="4D70E97089B7455DB707CDA5A3475D0E2"/>
    <w:rsid w:val="000B4C3C"/>
    <w:pPr>
      <w:spacing w:before="120" w:after="120" w:line="240" w:lineRule="auto"/>
      <w:jc w:val="both"/>
    </w:pPr>
    <w:rPr>
      <w:rFonts w:ascii="Arial" w:eastAsia="Times New Roman" w:hAnsi="Arial" w:cs="Times New Roman"/>
      <w:sz w:val="20"/>
      <w:szCs w:val="20"/>
      <w:lang w:eastAsia="en-US"/>
    </w:rPr>
  </w:style>
  <w:style w:type="paragraph" w:customStyle="1" w:styleId="B9C277E7EA8346EA86DBA4F4C318D3D21">
    <w:name w:val="B9C277E7EA8346EA86DBA4F4C318D3D21"/>
    <w:rsid w:val="000B4C3C"/>
    <w:pPr>
      <w:spacing w:before="120" w:after="120" w:line="240" w:lineRule="auto"/>
      <w:jc w:val="both"/>
    </w:pPr>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Jeremy Clarke</DisplayName>
        <AccountId>16</AccountId>
        <AccountType/>
      </UserInfo>
      <UserInfo>
        <DisplayName>Kate Neilson</DisplayName>
        <AccountId>45</AccountId>
        <AccountType/>
      </UserInfo>
      <UserInfo>
        <DisplayName>Alasdair Millar</DisplayName>
        <AccountId>22</AccountId>
        <AccountType/>
      </UserInfo>
      <UserInfo>
        <DisplayName>Philip McNeill</DisplayName>
        <AccountId>27</AccountId>
        <AccountType/>
      </UserInfo>
      <UserInfo>
        <DisplayName>Justine Riccomini</DisplayName>
        <AccountId>58</AccountId>
        <AccountType/>
      </UserInfo>
      <UserInfo>
        <DisplayName>Charlotte Barbour</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60CB4-6501-4830-8CCD-D36710812A2E}">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DF32A638-5B48-4AD4-951E-15023C64CD30}">
  <ds:schemaRefs>
    <ds:schemaRef ds:uri="http://schemas.microsoft.com/sharepoint/v3/contenttype/forms"/>
  </ds:schemaRefs>
</ds:datastoreItem>
</file>

<file path=customXml/itemProps3.xml><?xml version="1.0" encoding="utf-8"?>
<ds:datastoreItem xmlns:ds="http://schemas.openxmlformats.org/officeDocument/2006/customXml" ds:itemID="{8946EB9B-FD7C-412F-8BDD-74E48D3DF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8214</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2020-09-11T13:07:00Z</dcterms:created>
  <dcterms:modified xsi:type="dcterms:W3CDTF">2020-11-06T14:33:00Z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