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2FE69" w14:textId="5F9A3935" w:rsidR="00E136F8" w:rsidRPr="002A07F0" w:rsidRDefault="00235C26" w:rsidP="00703CA0">
      <w:pPr>
        <w:pStyle w:val="Heading3"/>
        <w:rPr>
          <w:i w:val="0"/>
          <w:iCs w:val="0"/>
          <w:sz w:val="24"/>
          <w:szCs w:val="24"/>
        </w:rPr>
      </w:pPr>
      <w:r w:rsidRPr="002A07F0">
        <w:rPr>
          <w:i w:val="0"/>
          <w:iCs w:val="0"/>
          <w:sz w:val="24"/>
          <w:szCs w:val="24"/>
        </w:rPr>
        <w:t xml:space="preserve">Specimen document - </w:t>
      </w:r>
      <w:r w:rsidR="00072866" w:rsidRPr="002A07F0">
        <w:rPr>
          <w:i w:val="0"/>
          <w:iCs w:val="0"/>
          <w:sz w:val="24"/>
          <w:szCs w:val="24"/>
        </w:rPr>
        <w:t>Anti Money Laundering and Anti Bribery</w:t>
      </w:r>
      <w:r w:rsidR="00090517" w:rsidRPr="002A07F0">
        <w:rPr>
          <w:i w:val="0"/>
          <w:iCs w:val="0"/>
          <w:sz w:val="24"/>
          <w:szCs w:val="24"/>
        </w:rPr>
        <w:t xml:space="preserve"> </w:t>
      </w:r>
      <w:r w:rsidR="00072866" w:rsidRPr="002A07F0">
        <w:rPr>
          <w:i w:val="0"/>
          <w:iCs w:val="0"/>
          <w:sz w:val="24"/>
          <w:szCs w:val="24"/>
        </w:rPr>
        <w:t>P</w:t>
      </w:r>
      <w:r w:rsidR="00090517" w:rsidRPr="002A07F0">
        <w:rPr>
          <w:i w:val="0"/>
          <w:iCs w:val="0"/>
          <w:sz w:val="24"/>
          <w:szCs w:val="24"/>
        </w:rPr>
        <w:t>olicies</w:t>
      </w:r>
    </w:p>
    <w:p w14:paraId="7116F1DC" w14:textId="77777777" w:rsidR="00090517" w:rsidRPr="00493A28" w:rsidRDefault="00090517" w:rsidP="00090517">
      <w:pPr>
        <w:pStyle w:val="BodyText"/>
        <w:rPr>
          <w:rFonts w:cs="Arial"/>
        </w:rPr>
      </w:pPr>
      <w:r w:rsidRPr="00493A28">
        <w:rPr>
          <w:rFonts w:cs="Arial"/>
        </w:rPr>
        <w:t xml:space="preserve">The firm is required to establish and maintain appropriate and risk-sensitive policies and procedures </w:t>
      </w:r>
      <w:proofErr w:type="gramStart"/>
      <w:r w:rsidRPr="00493A28">
        <w:rPr>
          <w:rFonts w:cs="Arial"/>
        </w:rPr>
        <w:t>in order to</w:t>
      </w:r>
      <w:proofErr w:type="gramEnd"/>
      <w:r w:rsidRPr="00493A28">
        <w:rPr>
          <w:rFonts w:cs="Arial"/>
        </w:rPr>
        <w:t xml:space="preserve"> prevent activities related to money laundering and terrorist financing. The following policies are designed to help tailor the electronic version of the manual for your firm. </w:t>
      </w:r>
    </w:p>
    <w:p w14:paraId="18497E75" w14:textId="237F0900" w:rsidR="00FB2531" w:rsidRPr="00501606" w:rsidRDefault="0089225E" w:rsidP="00090517">
      <w:pPr>
        <w:pStyle w:val="BodyText"/>
        <w:rPr>
          <w:rFonts w:cs="Arial"/>
          <w:b/>
          <w:bCs/>
        </w:rPr>
      </w:pPr>
      <w:r w:rsidRPr="00501606">
        <w:rPr>
          <w:rFonts w:cs="Arial"/>
          <w:b/>
          <w:bCs/>
        </w:rPr>
        <w:t xml:space="preserve">It is stressed that the specimen documents should be tailored </w:t>
      </w:r>
      <w:r w:rsidR="00462FF1" w:rsidRPr="00501606">
        <w:rPr>
          <w:rFonts w:cs="Arial"/>
          <w:b/>
          <w:bCs/>
        </w:rPr>
        <w:t xml:space="preserve">to individual </w:t>
      </w:r>
      <w:r w:rsidR="008C4B19" w:rsidRPr="00501606">
        <w:rPr>
          <w:rFonts w:cs="Arial"/>
          <w:b/>
          <w:bCs/>
        </w:rPr>
        <w:t xml:space="preserve">circumstances. </w:t>
      </w:r>
      <w:r w:rsidR="00090517" w:rsidRPr="00501606">
        <w:rPr>
          <w:rFonts w:cs="Arial"/>
          <w:b/>
          <w:bCs/>
        </w:rPr>
        <w:t>Paragraph 1.42 of the JMLSG guidance states “A policy statement should be tailored to the circumstances of the firm. Use of a generic document might reflect adversely on the level of consideration given by senior management to the firm’s particular risk”</w:t>
      </w:r>
      <w:r w:rsidR="00844725" w:rsidRPr="00501606">
        <w:rPr>
          <w:rFonts w:cs="Arial"/>
          <w:b/>
          <w:bCs/>
        </w:rPr>
        <w:t>.</w:t>
      </w:r>
      <w:r w:rsidR="00011FEA" w:rsidRPr="00501606">
        <w:rPr>
          <w:rFonts w:cs="Arial"/>
          <w:b/>
          <w:bCs/>
        </w:rPr>
        <w:t xml:space="preserve"> </w:t>
      </w:r>
    </w:p>
    <w:p w14:paraId="2C372794" w14:textId="77777777" w:rsidR="00090517" w:rsidRPr="008F69EC" w:rsidRDefault="00FB2531" w:rsidP="00FB2531">
      <w:pPr>
        <w:pStyle w:val="BodyText"/>
      </w:pPr>
      <w:r>
        <w:br w:type="page"/>
      </w:r>
    </w:p>
    <w:p w14:paraId="568519F5" w14:textId="77777777" w:rsidR="00090517" w:rsidRPr="009A5485" w:rsidRDefault="00090517" w:rsidP="00703CA0">
      <w:pPr>
        <w:pStyle w:val="Heading4"/>
        <w:rPr>
          <w:rStyle w:val="Hyperlink"/>
          <w:rFonts w:cs="Arial"/>
          <w:color w:val="auto"/>
          <w:sz w:val="20"/>
          <w:szCs w:val="20"/>
        </w:rPr>
      </w:pPr>
      <w:r w:rsidRPr="009A5485">
        <w:rPr>
          <w:rStyle w:val="Hyperlink"/>
          <w:rFonts w:cs="Arial"/>
          <w:color w:val="auto"/>
          <w:sz w:val="20"/>
          <w:szCs w:val="20"/>
        </w:rPr>
        <w:t>Risk assessment and management</w:t>
      </w:r>
    </w:p>
    <w:p w14:paraId="4B41A279" w14:textId="77777777" w:rsidR="00090517" w:rsidRPr="009A5485" w:rsidRDefault="00090517" w:rsidP="00103450">
      <w:pPr>
        <w:pStyle w:val="BodyText"/>
        <w:spacing w:before="0"/>
        <w:rPr>
          <w:rFonts w:cs="Arial"/>
        </w:rPr>
      </w:pPr>
      <w:r w:rsidRPr="008F69EC">
        <w:rPr>
          <w:rFonts w:cs="Arial"/>
        </w:rPr>
        <w:t>The firm’s main risks of money laundering are:</w:t>
      </w:r>
    </w:p>
    <w:p w14:paraId="3002C6F6" w14:textId="63802BE4" w:rsidR="00DF0E55" w:rsidRPr="009A5485" w:rsidRDefault="00DF0E55" w:rsidP="00103450">
      <w:pPr>
        <w:pStyle w:val="ListBullet"/>
        <w:tabs>
          <w:tab w:val="clear" w:pos="360"/>
          <w:tab w:val="num" w:pos="567"/>
        </w:tabs>
        <w:spacing w:before="0" w:after="0"/>
        <w:ind w:left="568" w:hanging="284"/>
        <w:rPr>
          <w:rFonts w:cs="Arial"/>
        </w:rPr>
      </w:pPr>
      <w:r w:rsidRPr="009A5485">
        <w:rPr>
          <w:rFonts w:cs="Arial"/>
        </w:rPr>
        <w:t xml:space="preserve">Tax evasion by </w:t>
      </w:r>
      <w:proofErr w:type="gramStart"/>
      <w:r w:rsidRPr="009A5485">
        <w:rPr>
          <w:rFonts w:cs="Arial"/>
        </w:rPr>
        <w:t>clients</w:t>
      </w:r>
      <w:r w:rsidR="005C5CA5">
        <w:rPr>
          <w:rFonts w:cs="Arial"/>
        </w:rPr>
        <w:t>;</w:t>
      </w:r>
      <w:proofErr w:type="gramEnd"/>
    </w:p>
    <w:p w14:paraId="75979E63" w14:textId="4720A876" w:rsidR="00DF0E55" w:rsidRPr="009A5485" w:rsidRDefault="00F669A7" w:rsidP="00103450">
      <w:pPr>
        <w:pStyle w:val="ListBullet"/>
        <w:tabs>
          <w:tab w:val="clear" w:pos="360"/>
          <w:tab w:val="num" w:pos="567"/>
        </w:tabs>
        <w:spacing w:before="0" w:after="0"/>
        <w:ind w:left="568" w:hanging="284"/>
        <w:rPr>
          <w:rFonts w:cs="Arial"/>
        </w:rPr>
      </w:pPr>
      <w:r w:rsidRPr="009A5485">
        <w:rPr>
          <w:rFonts w:cs="Arial"/>
        </w:rPr>
        <w:t>Acts of Fraud</w:t>
      </w:r>
      <w:r w:rsidR="00DF0E55" w:rsidRPr="009A5485">
        <w:rPr>
          <w:rFonts w:cs="Arial"/>
        </w:rPr>
        <w:t xml:space="preserve">, such as using false accounts to support an application for a </w:t>
      </w:r>
      <w:proofErr w:type="gramStart"/>
      <w:r w:rsidR="00DF0E55" w:rsidRPr="009A5485">
        <w:rPr>
          <w:rFonts w:cs="Arial"/>
        </w:rPr>
        <w:t>loan</w:t>
      </w:r>
      <w:r w:rsidR="005C5CA5">
        <w:rPr>
          <w:rFonts w:cs="Arial"/>
        </w:rPr>
        <w:t>;</w:t>
      </w:r>
      <w:proofErr w:type="gramEnd"/>
    </w:p>
    <w:p w14:paraId="54A41FB2" w14:textId="718FC866" w:rsidR="00DF0E55" w:rsidRPr="009A5485" w:rsidRDefault="00F669A7" w:rsidP="00103450">
      <w:pPr>
        <w:pStyle w:val="ListBullet"/>
        <w:tabs>
          <w:tab w:val="clear" w:pos="360"/>
          <w:tab w:val="num" w:pos="567"/>
        </w:tabs>
        <w:spacing w:before="0" w:after="0"/>
        <w:ind w:left="568" w:hanging="284"/>
        <w:rPr>
          <w:rFonts w:cs="Arial"/>
        </w:rPr>
      </w:pPr>
      <w:r w:rsidRPr="009A5485">
        <w:rPr>
          <w:rFonts w:cs="Arial"/>
        </w:rPr>
        <w:t>Acts of Theft</w:t>
      </w:r>
      <w:r w:rsidR="00DF0E55" w:rsidRPr="009A5485">
        <w:rPr>
          <w:rFonts w:cs="Arial"/>
        </w:rPr>
        <w:t>, such as clients deliberately refraining from notifying customers of overpayments</w:t>
      </w:r>
      <w:r w:rsidR="005C5CA5">
        <w:rPr>
          <w:rFonts w:cs="Arial"/>
        </w:rPr>
        <w:t>; and</w:t>
      </w:r>
    </w:p>
    <w:p w14:paraId="3760C083" w14:textId="70692D12" w:rsidR="00DF0E55" w:rsidRPr="009A5485" w:rsidRDefault="00DF0E55" w:rsidP="005C5CA5">
      <w:pPr>
        <w:pStyle w:val="ListBullet"/>
        <w:tabs>
          <w:tab w:val="clear" w:pos="360"/>
          <w:tab w:val="num" w:pos="567"/>
        </w:tabs>
        <w:spacing w:before="0" w:after="0"/>
        <w:ind w:left="568" w:hanging="284"/>
        <w:rPr>
          <w:rFonts w:cs="Arial"/>
        </w:rPr>
      </w:pPr>
      <w:r w:rsidRPr="009A5485">
        <w:rPr>
          <w:rFonts w:cs="Arial"/>
        </w:rPr>
        <w:t>Offences under the Bribery Act 2010, such as facilitation payments when working overseas</w:t>
      </w:r>
      <w:r w:rsidR="005C5CA5">
        <w:rPr>
          <w:rFonts w:cs="Arial"/>
        </w:rPr>
        <w:t>.</w:t>
      </w:r>
    </w:p>
    <w:p w14:paraId="15C63B0F" w14:textId="77777777" w:rsidR="00090517" w:rsidRPr="009A5485" w:rsidRDefault="00090517" w:rsidP="005C5CA5">
      <w:pPr>
        <w:pStyle w:val="BodyText"/>
        <w:rPr>
          <w:rFonts w:cs="Arial"/>
        </w:rPr>
      </w:pPr>
      <w:r w:rsidRPr="009A5485">
        <w:rPr>
          <w:rFonts w:cs="Arial"/>
        </w:rPr>
        <w:t xml:space="preserve">However, whilst the likelihood of encountering other instances of money laundering or even terrorist financing may be minimal, principals and staff must </w:t>
      </w:r>
      <w:proofErr w:type="gramStart"/>
      <w:r w:rsidRPr="009A5485">
        <w:rPr>
          <w:rFonts w:cs="Arial"/>
        </w:rPr>
        <w:t>still remain</w:t>
      </w:r>
      <w:proofErr w:type="gramEnd"/>
      <w:r w:rsidRPr="009A5485">
        <w:rPr>
          <w:rFonts w:cs="Arial"/>
        </w:rPr>
        <w:t xml:space="preserve"> alert to such eventuality. </w:t>
      </w:r>
    </w:p>
    <w:p w14:paraId="70D45D47" w14:textId="77777777" w:rsidR="00090517" w:rsidRPr="009A5485" w:rsidRDefault="00090517" w:rsidP="005C5CA5">
      <w:pPr>
        <w:pStyle w:val="BodyText"/>
        <w:spacing w:before="0"/>
        <w:rPr>
          <w:rFonts w:cs="Arial"/>
        </w:rPr>
      </w:pPr>
      <w:r w:rsidRPr="009A5485">
        <w:rPr>
          <w:rFonts w:cs="Arial"/>
        </w:rPr>
        <w:t xml:space="preserve">Principals and staff must also be alert for complex or unusually large transactions and unusual patterns of transactions which have no apparent economic or visible lawful purpose. </w:t>
      </w:r>
    </w:p>
    <w:p w14:paraId="1E0B5ACA" w14:textId="77777777" w:rsidR="00090517" w:rsidRPr="009A5485" w:rsidRDefault="00090517" w:rsidP="005C5CA5">
      <w:pPr>
        <w:pStyle w:val="BodyText"/>
        <w:spacing w:before="0"/>
        <w:rPr>
          <w:rFonts w:cs="Arial"/>
        </w:rPr>
      </w:pPr>
      <w:r w:rsidRPr="009A5485">
        <w:rPr>
          <w:rFonts w:cs="Arial"/>
        </w:rPr>
        <w:t>Similarly, principals and staff must identify situations where the client is using products and transactions which might favour anonymity (such as Panamanian companies), recognise the increased risk of money laundering or terrorist financing that these products and transactions produce, and take additional measures, where appropriate.</w:t>
      </w:r>
    </w:p>
    <w:p w14:paraId="34A6C3BC" w14:textId="4E6F4457" w:rsidR="00090517" w:rsidRPr="009A5485" w:rsidRDefault="009A76A2" w:rsidP="005C5CA5">
      <w:pPr>
        <w:pStyle w:val="BodyText"/>
        <w:spacing w:before="0"/>
        <w:rPr>
          <w:rFonts w:cs="Arial"/>
        </w:rPr>
      </w:pPr>
      <w:r>
        <w:rPr>
          <w:rFonts w:cs="Arial"/>
        </w:rPr>
        <w:t>Your ‘K</w:t>
      </w:r>
      <w:r w:rsidR="00090517" w:rsidRPr="009A5485">
        <w:rPr>
          <w:rFonts w:cs="Arial"/>
        </w:rPr>
        <w:t xml:space="preserve">now your </w:t>
      </w:r>
      <w:r>
        <w:rPr>
          <w:rFonts w:cs="Arial"/>
        </w:rPr>
        <w:t>C</w:t>
      </w:r>
      <w:r w:rsidR="00090517" w:rsidRPr="009A5485">
        <w:rPr>
          <w:rFonts w:cs="Arial"/>
        </w:rPr>
        <w:t>lient</w:t>
      </w:r>
      <w:r>
        <w:rPr>
          <w:rFonts w:cs="Arial"/>
        </w:rPr>
        <w:t>’</w:t>
      </w:r>
      <w:r w:rsidR="00090517" w:rsidRPr="009A5485">
        <w:rPr>
          <w:rFonts w:cs="Arial"/>
        </w:rPr>
        <w:t xml:space="preserve"> forms and </w:t>
      </w:r>
      <w:r w:rsidR="004F55EB">
        <w:rPr>
          <w:rFonts w:cs="Arial"/>
        </w:rPr>
        <w:t>C</w:t>
      </w:r>
      <w:r w:rsidR="00090517" w:rsidRPr="009A5485">
        <w:rPr>
          <w:rFonts w:cs="Arial"/>
        </w:rPr>
        <w:t xml:space="preserve">ustomer </w:t>
      </w:r>
      <w:r w:rsidR="004F55EB">
        <w:rPr>
          <w:rFonts w:cs="Arial"/>
        </w:rPr>
        <w:t>D</w:t>
      </w:r>
      <w:r w:rsidR="00090517" w:rsidRPr="009A5485">
        <w:rPr>
          <w:rFonts w:cs="Arial"/>
        </w:rPr>
        <w:t xml:space="preserve">ue </w:t>
      </w:r>
      <w:r w:rsidR="004F55EB">
        <w:rPr>
          <w:rFonts w:cs="Arial"/>
        </w:rPr>
        <w:t>D</w:t>
      </w:r>
      <w:r w:rsidR="00090517" w:rsidRPr="009A5485">
        <w:rPr>
          <w:rFonts w:cs="Arial"/>
        </w:rPr>
        <w:t>iligence forms should record the client’s risk profile.</w:t>
      </w:r>
    </w:p>
    <w:p w14:paraId="7CAFE0A7" w14:textId="77777777" w:rsidR="00072866" w:rsidRPr="009A5485" w:rsidRDefault="00072866" w:rsidP="00703CA0">
      <w:pPr>
        <w:pStyle w:val="Heading4"/>
      </w:pPr>
      <w:r w:rsidRPr="009A5485">
        <w:rPr>
          <w:rStyle w:val="Hyperlink"/>
          <w:rFonts w:cs="Arial"/>
          <w:color w:val="auto"/>
          <w:sz w:val="20"/>
          <w:szCs w:val="20"/>
        </w:rPr>
        <w:t>Anti Bribery policy</w:t>
      </w:r>
    </w:p>
    <w:p w14:paraId="024A7350" w14:textId="77777777" w:rsidR="00072866" w:rsidRPr="009A5485" w:rsidRDefault="00072866" w:rsidP="00800A8F">
      <w:pPr>
        <w:pStyle w:val="BodyText"/>
        <w:spacing w:before="0"/>
        <w:rPr>
          <w:rFonts w:cs="Arial"/>
        </w:rPr>
      </w:pPr>
      <w:r w:rsidRPr="008F69EC">
        <w:rPr>
          <w:rFonts w:cs="Arial"/>
        </w:rPr>
        <w:t>The firm is required to risk assess</w:t>
      </w:r>
      <w:r w:rsidRPr="008F69EC">
        <w:rPr>
          <w:rFonts w:cs="Arial"/>
        </w:rPr>
        <w:fldChar w:fldCharType="begin"/>
      </w:r>
      <w:r w:rsidRPr="008F69EC">
        <w:rPr>
          <w:rFonts w:cs="Arial"/>
        </w:rPr>
        <w:instrText xml:space="preserve"> XE "Risk assessment:Bribery Act 2010" </w:instrText>
      </w:r>
      <w:r w:rsidRPr="008F69EC">
        <w:rPr>
          <w:rFonts w:cs="Arial"/>
        </w:rPr>
        <w:fldChar w:fldCharType="end"/>
      </w:r>
      <w:r w:rsidRPr="008F69EC">
        <w:rPr>
          <w:rFonts w:cs="Arial"/>
        </w:rPr>
        <w:t xml:space="preserve"> its exposure to the Bribery Act 2010</w:t>
      </w:r>
      <w:r w:rsidRPr="008F69EC">
        <w:rPr>
          <w:rFonts w:cs="Arial"/>
        </w:rPr>
        <w:fldChar w:fldCharType="begin"/>
      </w:r>
      <w:r w:rsidRPr="008F69EC">
        <w:rPr>
          <w:rFonts w:cs="Arial"/>
        </w:rPr>
        <w:instrText xml:space="preserve"> XE "Bribery Act 2010" </w:instrText>
      </w:r>
      <w:r w:rsidRPr="008F69EC">
        <w:rPr>
          <w:rFonts w:cs="Arial"/>
        </w:rPr>
        <w:fldChar w:fldCharType="end"/>
      </w:r>
      <w:r w:rsidRPr="008F69EC">
        <w:rPr>
          <w:rFonts w:cs="Arial"/>
        </w:rPr>
        <w:t xml:space="preserve">, assess how to minimise that exposure and provide relevant training to the principals, staff </w:t>
      </w:r>
      <w:r w:rsidRPr="009A5485">
        <w:rPr>
          <w:rFonts w:cs="Arial"/>
        </w:rPr>
        <w:t>and others working or acting on its behalf.</w:t>
      </w:r>
    </w:p>
    <w:p w14:paraId="7D367549" w14:textId="6A35EA44" w:rsidR="00072866" w:rsidRPr="009A5485" w:rsidRDefault="00072866" w:rsidP="00703CA0">
      <w:r w:rsidRPr="009A5485">
        <w:t>As a professional firm operating in the UK, the principals have assessed the risk of bribery as low. As such</w:t>
      </w:r>
      <w:r w:rsidR="008C456D">
        <w:t>,</w:t>
      </w:r>
      <w:r w:rsidRPr="009A5485">
        <w:t xml:space="preserve"> the principals do not believe that the firm needs to implement any additional controls in the light of the Bribery Act 2010, other than to state the obvious, which is that we will not tolerate any situation involving bribery or indeed any other offence where we would have to report ourselves under the Money Laundering Regulations. </w:t>
      </w:r>
      <w:r w:rsidR="000E599C">
        <w:t>The firm</w:t>
      </w:r>
      <w:r w:rsidRPr="009A5485">
        <w:t xml:space="preserve"> already ha</w:t>
      </w:r>
      <w:r w:rsidR="000E599C">
        <w:t>s</w:t>
      </w:r>
      <w:r w:rsidRPr="009A5485">
        <w:t xml:space="preserve"> policies in place regarding the receipt of hospitality and gifts and these should be adhered to.</w:t>
      </w:r>
    </w:p>
    <w:p w14:paraId="2D3E7EB0" w14:textId="76CA2442" w:rsidR="00072866" w:rsidRPr="008F69EC" w:rsidRDefault="00072866" w:rsidP="00800A8F">
      <w:pPr>
        <w:pStyle w:val="BodyText"/>
        <w:spacing w:before="0"/>
        <w:rPr>
          <w:rFonts w:cs="Arial"/>
        </w:rPr>
      </w:pPr>
      <w:r w:rsidRPr="009A5485">
        <w:rPr>
          <w:rFonts w:cs="Arial"/>
        </w:rPr>
        <w:t xml:space="preserve">Principals and staff must, however, be aware of the possibility that we may come across instances of bribery when dealing with our clients’ affairs. Any suspicion that a client is involved in bribery would need to be reported as a suspicious activity to the firm’s </w:t>
      </w:r>
      <w:hyperlink r:id="rId11" w:anchor="N1401a" w:history="1">
        <w:r w:rsidRPr="009A5485">
          <w:rPr>
            <w:rFonts w:cs="Arial"/>
          </w:rPr>
          <w:t>M</w:t>
        </w:r>
        <w:r w:rsidR="00D9202C">
          <w:rPr>
            <w:rFonts w:cs="Arial"/>
          </w:rPr>
          <w:t xml:space="preserve">oney </w:t>
        </w:r>
        <w:r w:rsidRPr="009A5485">
          <w:rPr>
            <w:rFonts w:cs="Arial"/>
          </w:rPr>
          <w:t>L</w:t>
        </w:r>
        <w:r w:rsidR="00D9202C">
          <w:rPr>
            <w:rFonts w:cs="Arial"/>
          </w:rPr>
          <w:t xml:space="preserve">aundering </w:t>
        </w:r>
        <w:r w:rsidRPr="009A5485">
          <w:rPr>
            <w:rFonts w:cs="Arial"/>
          </w:rPr>
          <w:t>R</w:t>
        </w:r>
        <w:r w:rsidR="00D9202C">
          <w:rPr>
            <w:rFonts w:cs="Arial"/>
          </w:rPr>
          <w:t xml:space="preserve">eporting </w:t>
        </w:r>
        <w:r w:rsidRPr="009A5485">
          <w:rPr>
            <w:rFonts w:cs="Arial"/>
          </w:rPr>
          <w:t>O</w:t>
        </w:r>
        <w:r w:rsidRPr="009A5485">
          <w:rPr>
            <w:rFonts w:cs="Arial"/>
          </w:rPr>
          <w:fldChar w:fldCharType="begin"/>
        </w:r>
        <w:r w:rsidRPr="009A5485">
          <w:rPr>
            <w:rFonts w:cs="Arial"/>
          </w:rPr>
          <w:instrText xml:space="preserve"> XE "MLRO" </w:instrText>
        </w:r>
        <w:r w:rsidRPr="009A5485">
          <w:rPr>
            <w:rFonts w:cs="Arial"/>
          </w:rPr>
          <w:fldChar w:fldCharType="end"/>
        </w:r>
      </w:hyperlink>
      <w:r w:rsidR="00D9202C">
        <w:rPr>
          <w:rFonts w:cs="Arial"/>
        </w:rPr>
        <w:t>fficer (MLRO).</w:t>
      </w:r>
      <w:r w:rsidR="00774949">
        <w:rPr>
          <w:rFonts w:cs="Arial"/>
        </w:rPr>
        <w:t xml:space="preserve"> </w:t>
      </w:r>
      <w:r w:rsidRPr="008F69EC">
        <w:rPr>
          <w:rFonts w:cs="Arial"/>
        </w:rPr>
        <w:fldChar w:fldCharType="begin"/>
      </w:r>
      <w:r w:rsidRPr="008F69EC">
        <w:rPr>
          <w:rFonts w:cs="Arial"/>
        </w:rPr>
        <w:instrText xml:space="preserve"> XE "Anti-bribery" \t "See Bribery Act 2010" </w:instrText>
      </w:r>
      <w:r w:rsidRPr="008F69EC">
        <w:rPr>
          <w:rFonts w:cs="Arial"/>
        </w:rPr>
        <w:fldChar w:fldCharType="end"/>
      </w:r>
    </w:p>
    <w:p w14:paraId="518EF895" w14:textId="75733AFA" w:rsidR="00090517" w:rsidRPr="009A5485" w:rsidRDefault="00090517" w:rsidP="00703CA0">
      <w:pPr>
        <w:pStyle w:val="Heading4"/>
      </w:pPr>
      <w:r w:rsidRPr="009A5485">
        <w:rPr>
          <w:rStyle w:val="Hyperlink"/>
          <w:rFonts w:cs="Arial"/>
          <w:color w:val="auto"/>
          <w:sz w:val="20"/>
          <w:szCs w:val="20"/>
        </w:rPr>
        <w:t xml:space="preserve">Customer </w:t>
      </w:r>
      <w:r w:rsidR="00703CA0">
        <w:rPr>
          <w:rStyle w:val="Hyperlink"/>
          <w:rFonts w:cs="Arial"/>
          <w:color w:val="auto"/>
          <w:sz w:val="20"/>
          <w:szCs w:val="20"/>
        </w:rPr>
        <w:t>D</w:t>
      </w:r>
      <w:r w:rsidRPr="009A5485">
        <w:rPr>
          <w:rStyle w:val="Hyperlink"/>
          <w:rFonts w:cs="Arial"/>
          <w:color w:val="auto"/>
          <w:sz w:val="20"/>
          <w:szCs w:val="20"/>
        </w:rPr>
        <w:t xml:space="preserve">ue </w:t>
      </w:r>
      <w:r w:rsidR="00703CA0">
        <w:rPr>
          <w:rStyle w:val="Hyperlink"/>
          <w:rFonts w:cs="Arial"/>
          <w:color w:val="auto"/>
          <w:sz w:val="20"/>
          <w:szCs w:val="20"/>
        </w:rPr>
        <w:t>D</w:t>
      </w:r>
      <w:r w:rsidRPr="009A5485">
        <w:rPr>
          <w:rStyle w:val="Hyperlink"/>
          <w:rFonts w:cs="Arial"/>
          <w:color w:val="auto"/>
          <w:sz w:val="20"/>
          <w:szCs w:val="20"/>
        </w:rPr>
        <w:t>iligence measures</w:t>
      </w:r>
      <w:r w:rsidRPr="009A5485">
        <w:t xml:space="preserve"> </w:t>
      </w:r>
    </w:p>
    <w:p w14:paraId="74E35361" w14:textId="7AD34301" w:rsidR="00164F40" w:rsidRPr="009A5485" w:rsidRDefault="00164F40" w:rsidP="00703CA0">
      <w:r w:rsidRPr="008F69EC">
        <w:t xml:space="preserve">The extent to which Customer Due </w:t>
      </w:r>
      <w:r w:rsidRPr="009A5485">
        <w:t>Diligence (CDD) measures are applied will depend upon the level of overall risk assessed for the client.</w:t>
      </w:r>
      <w:r w:rsidR="00EA57CA">
        <w:t xml:space="preserve"> </w:t>
      </w:r>
      <w:r w:rsidRPr="009A5485">
        <w:t>There are three categories of money laundering risk:</w:t>
      </w:r>
    </w:p>
    <w:p w14:paraId="5002959E" w14:textId="77777777" w:rsidR="00164F40" w:rsidRPr="009A5485" w:rsidRDefault="00164F40" w:rsidP="00703CA0">
      <w:pPr>
        <w:numPr>
          <w:ilvl w:val="0"/>
          <w:numId w:val="4"/>
        </w:numPr>
        <w:spacing w:before="0" w:after="0"/>
        <w:ind w:left="714" w:hanging="357"/>
      </w:pPr>
      <w:proofErr w:type="gramStart"/>
      <w:r w:rsidRPr="009A5485">
        <w:t>Simplified;</w:t>
      </w:r>
      <w:proofErr w:type="gramEnd"/>
    </w:p>
    <w:p w14:paraId="0E329F19" w14:textId="77777777" w:rsidR="00164F40" w:rsidRPr="009A5485" w:rsidRDefault="00164F40" w:rsidP="00703CA0">
      <w:pPr>
        <w:numPr>
          <w:ilvl w:val="0"/>
          <w:numId w:val="4"/>
        </w:numPr>
        <w:spacing w:before="0" w:after="0"/>
        <w:ind w:left="714" w:hanging="357"/>
      </w:pPr>
      <w:r w:rsidRPr="009A5485">
        <w:t>Normal; and</w:t>
      </w:r>
    </w:p>
    <w:p w14:paraId="470E4D9C" w14:textId="77777777" w:rsidR="00164F40" w:rsidRPr="009A5485" w:rsidRDefault="00164F40" w:rsidP="00703CA0">
      <w:pPr>
        <w:numPr>
          <w:ilvl w:val="0"/>
          <w:numId w:val="4"/>
        </w:numPr>
        <w:spacing w:before="0" w:after="0"/>
        <w:ind w:left="714" w:hanging="357"/>
      </w:pPr>
      <w:r w:rsidRPr="009A5485">
        <w:t>Enhanced</w:t>
      </w:r>
    </w:p>
    <w:p w14:paraId="2482F40E" w14:textId="02463F84" w:rsidR="00164F40" w:rsidRPr="009A5485" w:rsidRDefault="00164F40" w:rsidP="00703CA0">
      <w:r w:rsidRPr="009A5485">
        <w:t>Simplified due diligence may be applied in certain limited circumstances</w:t>
      </w:r>
      <w:r w:rsidR="00EA57CA">
        <w:t>,</w:t>
      </w:r>
      <w:r w:rsidRPr="009A5485">
        <w:t xml:space="preserve"> for example</w:t>
      </w:r>
      <w:r w:rsidR="00EA57CA">
        <w:t>,</w:t>
      </w:r>
      <w:r w:rsidRPr="009A5485">
        <w:t xml:space="preserve"> where the firm is engaged by a government body or a publicly listed company. Whilst simplified due diligence may be appropriate in these circumstances, firms should still be carrying out appropriate knowledge of client documentation and record considerations of money laundering risk</w:t>
      </w:r>
      <w:r w:rsidR="00541802">
        <w:t>.</w:t>
      </w:r>
    </w:p>
    <w:p w14:paraId="1344735D" w14:textId="67019435" w:rsidR="00090517" w:rsidRPr="009A5485" w:rsidRDefault="00164F40" w:rsidP="00065224">
      <w:pPr>
        <w:rPr>
          <w:rFonts w:cs="Arial"/>
        </w:rPr>
      </w:pPr>
      <w:r w:rsidRPr="009A5485">
        <w:t>The most common level of CDD is known as normal or standard due diligence.  This would be appropriate where clients are individuals, private limited companies, partnerships, LLPs, and similar.</w:t>
      </w:r>
      <w:r w:rsidR="00065224">
        <w:t xml:space="preserve"> </w:t>
      </w:r>
      <w:r w:rsidR="00090517" w:rsidRPr="009A5485">
        <w:rPr>
          <w:rFonts w:cs="Arial"/>
        </w:rPr>
        <w:t xml:space="preserve">The standard approach to verifying the identity of individuals </w:t>
      </w:r>
      <w:r w:rsidR="00065224">
        <w:rPr>
          <w:rFonts w:cs="Arial"/>
        </w:rPr>
        <w:t>is</w:t>
      </w:r>
      <w:r w:rsidR="00090517" w:rsidRPr="009A5485">
        <w:rPr>
          <w:rFonts w:cs="Arial"/>
        </w:rPr>
        <w:t xml:space="preserve"> (in order of preference):</w:t>
      </w:r>
    </w:p>
    <w:p w14:paraId="440A64CB" w14:textId="15DDCF88" w:rsidR="00090517" w:rsidRPr="009A5485" w:rsidRDefault="00512731" w:rsidP="00512731">
      <w:pPr>
        <w:pStyle w:val="BodyText"/>
        <w:numPr>
          <w:ilvl w:val="0"/>
          <w:numId w:val="2"/>
        </w:numPr>
        <w:spacing w:before="0" w:after="0"/>
        <w:ind w:left="357" w:firstLine="69"/>
        <w:rPr>
          <w:rFonts w:cs="Arial"/>
        </w:rPr>
      </w:pPr>
      <w:r>
        <w:rPr>
          <w:rStyle w:val="ListBulletChar"/>
          <w:rFonts w:cs="Arial"/>
        </w:rPr>
        <w:t>O</w:t>
      </w:r>
      <w:r w:rsidR="00090517" w:rsidRPr="009A5485">
        <w:rPr>
          <w:rStyle w:val="ListBulletChar"/>
          <w:rFonts w:cs="Arial"/>
        </w:rPr>
        <w:t>nline checks carried out through</w:t>
      </w:r>
      <w:r w:rsidR="00090517" w:rsidRPr="009A5485">
        <w:rPr>
          <w:rFonts w:cs="Arial"/>
        </w:rPr>
        <w:t xml:space="preserve"> </w:t>
      </w:r>
      <w:r w:rsidR="00603B35">
        <w:rPr>
          <w:rFonts w:cs="Arial"/>
          <w:highlight w:val="yellow"/>
        </w:rPr>
        <w:t>[</w:t>
      </w:r>
      <w:r w:rsidR="00090517" w:rsidRPr="009A5485">
        <w:rPr>
          <w:rFonts w:cs="Arial"/>
          <w:highlight w:val="yellow"/>
        </w:rPr>
        <w:t>enter name of service</w:t>
      </w:r>
      <w:r w:rsidR="00603B35">
        <w:rPr>
          <w:rFonts w:cs="Arial"/>
          <w:highlight w:val="yellow"/>
        </w:rPr>
        <w:t>]</w:t>
      </w:r>
      <w:r w:rsidR="00090517" w:rsidRPr="009A5485">
        <w:rPr>
          <w:rFonts w:cs="Arial"/>
        </w:rPr>
        <w:t>; or</w:t>
      </w:r>
    </w:p>
    <w:p w14:paraId="5DC98773" w14:textId="0B35F7BE" w:rsidR="00090517" w:rsidRPr="009A5485" w:rsidRDefault="00512731" w:rsidP="00512731">
      <w:pPr>
        <w:pStyle w:val="BodyText"/>
        <w:numPr>
          <w:ilvl w:val="0"/>
          <w:numId w:val="2"/>
        </w:numPr>
        <w:spacing w:before="0" w:after="0"/>
        <w:ind w:left="357" w:firstLine="69"/>
        <w:rPr>
          <w:rStyle w:val="ListBulletChar"/>
          <w:rFonts w:cs="Arial"/>
          <w:bCs/>
        </w:rPr>
      </w:pPr>
      <w:r>
        <w:rPr>
          <w:rStyle w:val="ListBulletChar"/>
          <w:rFonts w:cs="Arial"/>
        </w:rPr>
        <w:t>Co</w:t>
      </w:r>
      <w:r w:rsidR="00090517" w:rsidRPr="009A5485">
        <w:rPr>
          <w:rStyle w:val="ListBulletChar"/>
          <w:rFonts w:cs="Arial"/>
        </w:rPr>
        <w:t>pies of passports or photo driving licences; or</w:t>
      </w:r>
    </w:p>
    <w:p w14:paraId="175E4077" w14:textId="01D5BC81" w:rsidR="00090517" w:rsidRPr="009A5485" w:rsidRDefault="00512731" w:rsidP="00512731">
      <w:pPr>
        <w:pStyle w:val="BodyText"/>
        <w:numPr>
          <w:ilvl w:val="0"/>
          <w:numId w:val="2"/>
        </w:numPr>
        <w:spacing w:before="0" w:after="0"/>
        <w:ind w:left="357" w:firstLine="69"/>
        <w:rPr>
          <w:rFonts w:cs="Arial"/>
        </w:rPr>
      </w:pPr>
      <w:r>
        <w:rPr>
          <w:rFonts w:cs="Arial"/>
        </w:rPr>
        <w:t>O</w:t>
      </w:r>
      <w:r w:rsidR="00090517" w:rsidRPr="009A5485">
        <w:rPr>
          <w:rFonts w:cs="Arial"/>
        </w:rPr>
        <w:t>ther documents as appropriate</w:t>
      </w:r>
      <w:r w:rsidR="0045242D" w:rsidRPr="009A5485">
        <w:rPr>
          <w:rFonts w:cs="Arial"/>
        </w:rPr>
        <w:t>.</w:t>
      </w:r>
    </w:p>
    <w:p w14:paraId="47120D83" w14:textId="407A2394" w:rsidR="00164F40" w:rsidRPr="009A5485" w:rsidRDefault="00164F40" w:rsidP="00065224">
      <w:pPr>
        <w:pStyle w:val="BodyText"/>
        <w:spacing w:before="0"/>
        <w:rPr>
          <w:rFonts w:cs="Arial"/>
        </w:rPr>
      </w:pPr>
      <w:r w:rsidRPr="009A5485">
        <w:rPr>
          <w:rFonts w:cs="Arial"/>
        </w:rPr>
        <w:lastRenderedPageBreak/>
        <w:t xml:space="preserve">Enhanced due diligence will apply in higher risk circumstances, perhaps when acting for clients who have not been met face to face or when acting for a </w:t>
      </w:r>
      <w:r w:rsidR="00065224">
        <w:rPr>
          <w:rFonts w:cs="Arial"/>
        </w:rPr>
        <w:t>P</w:t>
      </w:r>
      <w:r w:rsidRPr="009A5485">
        <w:rPr>
          <w:rFonts w:cs="Arial"/>
        </w:rPr>
        <w:t xml:space="preserve">olitically </w:t>
      </w:r>
      <w:r w:rsidR="00065224">
        <w:rPr>
          <w:rFonts w:cs="Arial"/>
        </w:rPr>
        <w:t>E</w:t>
      </w:r>
      <w:r w:rsidRPr="009A5485">
        <w:rPr>
          <w:rFonts w:cs="Arial"/>
        </w:rPr>
        <w:t xml:space="preserve">xposed </w:t>
      </w:r>
      <w:r w:rsidR="00065224">
        <w:rPr>
          <w:rFonts w:cs="Arial"/>
        </w:rPr>
        <w:t>P</w:t>
      </w:r>
      <w:r w:rsidRPr="009A5485">
        <w:rPr>
          <w:rFonts w:cs="Arial"/>
        </w:rPr>
        <w:t>erson (PEP).</w:t>
      </w:r>
      <w:r w:rsidR="00065224">
        <w:rPr>
          <w:rFonts w:cs="Arial"/>
        </w:rPr>
        <w:t xml:space="preserve"> </w:t>
      </w:r>
      <w:r w:rsidR="00090517" w:rsidRPr="009A5485">
        <w:rPr>
          <w:rFonts w:cs="Arial"/>
        </w:rPr>
        <w:t xml:space="preserve">When carrying out enhanced due diligence on individuals, the standard approach should be enhanced with at least one additional piece of evidence of identity. </w:t>
      </w:r>
    </w:p>
    <w:p w14:paraId="1A9D4285" w14:textId="6E5A8EE4" w:rsidR="00090517" w:rsidRPr="009A5485" w:rsidRDefault="00F40989" w:rsidP="00065224">
      <w:pPr>
        <w:pStyle w:val="BodyText"/>
        <w:spacing w:before="0"/>
        <w:rPr>
          <w:rFonts w:cs="Arial"/>
        </w:rPr>
      </w:pPr>
      <w:r>
        <w:rPr>
          <w:rFonts w:cs="Arial"/>
        </w:rPr>
        <w:t>B</w:t>
      </w:r>
      <w:r w:rsidRPr="009A5485">
        <w:rPr>
          <w:rFonts w:cs="Arial"/>
        </w:rPr>
        <w:t xml:space="preserve">efore </w:t>
      </w:r>
      <w:r w:rsidR="00120AC3">
        <w:rPr>
          <w:rFonts w:cs="Arial"/>
        </w:rPr>
        <w:t xml:space="preserve">carrying out any work on the client </w:t>
      </w:r>
      <w:r w:rsidRPr="009A5485">
        <w:rPr>
          <w:rFonts w:cs="Arial"/>
        </w:rPr>
        <w:t>staff should check th</w:t>
      </w:r>
      <w:r w:rsidR="00120AC3">
        <w:rPr>
          <w:rFonts w:cs="Arial"/>
        </w:rPr>
        <w:t>e following (e</w:t>
      </w:r>
      <w:r w:rsidR="00090517" w:rsidRPr="009A5485">
        <w:rPr>
          <w:rFonts w:cs="Arial"/>
        </w:rPr>
        <w:t>xcept where a client qualifies for simplified customer due diligence measures</w:t>
      </w:r>
      <w:r w:rsidR="00120AC3">
        <w:rPr>
          <w:rFonts w:cs="Arial"/>
        </w:rPr>
        <w:t>):</w:t>
      </w:r>
      <w:r w:rsidR="00090517" w:rsidRPr="009A5485">
        <w:rPr>
          <w:rFonts w:cs="Arial"/>
        </w:rPr>
        <w:t xml:space="preserve"> </w:t>
      </w:r>
    </w:p>
    <w:p w14:paraId="1E0D9952" w14:textId="02FE9130" w:rsidR="00090517" w:rsidRPr="009A5485" w:rsidRDefault="0094109C" w:rsidP="00512731">
      <w:pPr>
        <w:pStyle w:val="ListBullet"/>
        <w:numPr>
          <w:ilvl w:val="0"/>
          <w:numId w:val="3"/>
        </w:numPr>
        <w:tabs>
          <w:tab w:val="clear" w:pos="360"/>
          <w:tab w:val="num" w:pos="851"/>
        </w:tabs>
        <w:spacing w:before="0" w:after="0"/>
        <w:ind w:left="851" w:hanging="425"/>
        <w:rPr>
          <w:rStyle w:val="ListBulletChar"/>
          <w:rFonts w:cs="Arial"/>
        </w:rPr>
      </w:pPr>
      <w:r>
        <w:rPr>
          <w:rStyle w:val="ListBulletChar"/>
          <w:rFonts w:cs="Arial"/>
        </w:rPr>
        <w:t>That e</w:t>
      </w:r>
      <w:r w:rsidR="00090517" w:rsidRPr="009A5485">
        <w:rPr>
          <w:rStyle w:val="ListBulletChar"/>
          <w:rFonts w:cs="Arial"/>
        </w:rPr>
        <w:t xml:space="preserve">xisting evidence of </w:t>
      </w:r>
      <w:r>
        <w:rPr>
          <w:rStyle w:val="ListBulletChar"/>
          <w:rFonts w:cs="Arial"/>
        </w:rPr>
        <w:t xml:space="preserve">client </w:t>
      </w:r>
      <w:r w:rsidR="00090517" w:rsidRPr="009A5485">
        <w:rPr>
          <w:rStyle w:val="ListBulletChar"/>
          <w:rFonts w:cs="Arial"/>
        </w:rPr>
        <w:t>identification is up to date. If not, it should be updated.</w:t>
      </w:r>
    </w:p>
    <w:p w14:paraId="0ABFB0B0" w14:textId="77777777" w:rsidR="00090517" w:rsidRPr="009A5485" w:rsidRDefault="00090517" w:rsidP="00512731">
      <w:pPr>
        <w:pStyle w:val="ListBullet"/>
        <w:numPr>
          <w:ilvl w:val="0"/>
          <w:numId w:val="3"/>
        </w:numPr>
        <w:tabs>
          <w:tab w:val="clear" w:pos="360"/>
          <w:tab w:val="num" w:pos="851"/>
        </w:tabs>
        <w:spacing w:before="0" w:after="0"/>
        <w:ind w:left="851" w:hanging="425"/>
        <w:rPr>
          <w:rStyle w:val="ListBulletChar"/>
          <w:rFonts w:cs="Arial"/>
        </w:rPr>
      </w:pPr>
      <w:r w:rsidRPr="009A5485">
        <w:rPr>
          <w:rStyle w:val="ListBulletChar"/>
          <w:rFonts w:cs="Arial"/>
        </w:rPr>
        <w:t>Where the client has beneficial owners, the details of all beneficial owners are fully recorded.</w:t>
      </w:r>
    </w:p>
    <w:p w14:paraId="76EA17DE" w14:textId="3F7AF66E" w:rsidR="00090517" w:rsidRPr="009A5485" w:rsidRDefault="00090517" w:rsidP="00512731">
      <w:pPr>
        <w:pStyle w:val="ListBullet"/>
        <w:numPr>
          <w:ilvl w:val="0"/>
          <w:numId w:val="3"/>
        </w:numPr>
        <w:tabs>
          <w:tab w:val="clear" w:pos="360"/>
          <w:tab w:val="num" w:pos="851"/>
        </w:tabs>
        <w:spacing w:before="0" w:after="0"/>
        <w:ind w:left="851" w:hanging="425"/>
        <w:rPr>
          <w:rFonts w:cs="Arial"/>
        </w:rPr>
      </w:pPr>
      <w:r w:rsidRPr="009A5485">
        <w:rPr>
          <w:rStyle w:val="ListBulletChar"/>
          <w:rFonts w:cs="Arial"/>
        </w:rPr>
        <w:t xml:space="preserve">Depending on the risk assessment, the file contains adequate information to </w:t>
      </w:r>
      <w:r w:rsidRPr="009A5485">
        <w:rPr>
          <w:rFonts w:cs="Arial"/>
          <w:lang w:eastAsia="en-GB"/>
        </w:rPr>
        <w:t xml:space="preserve">satisfy </w:t>
      </w:r>
      <w:r w:rsidR="00B61EBF">
        <w:rPr>
          <w:rFonts w:cs="Arial"/>
          <w:lang w:eastAsia="en-GB"/>
        </w:rPr>
        <w:t>the firm</w:t>
      </w:r>
      <w:r w:rsidRPr="009A5485">
        <w:rPr>
          <w:rFonts w:cs="Arial"/>
          <w:lang w:eastAsia="en-GB"/>
        </w:rPr>
        <w:t xml:space="preserve"> that we know who any beneficial owners are.</w:t>
      </w:r>
    </w:p>
    <w:p w14:paraId="0DA287E1" w14:textId="4C97E856" w:rsidR="00090517" w:rsidRPr="009A5485" w:rsidRDefault="00090517" w:rsidP="00512731">
      <w:pPr>
        <w:pStyle w:val="ListBullet"/>
        <w:numPr>
          <w:ilvl w:val="0"/>
          <w:numId w:val="3"/>
        </w:numPr>
        <w:tabs>
          <w:tab w:val="clear" w:pos="360"/>
          <w:tab w:val="num" w:pos="851"/>
        </w:tabs>
        <w:spacing w:before="0" w:after="0"/>
        <w:ind w:left="851" w:hanging="425"/>
        <w:rPr>
          <w:rFonts w:cs="Arial"/>
          <w:bCs/>
        </w:rPr>
      </w:pPr>
      <w:r w:rsidRPr="009A5485">
        <w:rPr>
          <w:rFonts w:cs="Arial"/>
          <w:lang w:eastAsia="en-GB"/>
        </w:rPr>
        <w:t xml:space="preserve">Know </w:t>
      </w:r>
      <w:r w:rsidR="00B61EBF">
        <w:rPr>
          <w:rFonts w:cs="Arial"/>
          <w:lang w:eastAsia="en-GB"/>
        </w:rPr>
        <w:t>Y</w:t>
      </w:r>
      <w:r w:rsidRPr="009A5485">
        <w:rPr>
          <w:rFonts w:cs="Arial"/>
          <w:lang w:eastAsia="en-GB"/>
        </w:rPr>
        <w:t xml:space="preserve">our </w:t>
      </w:r>
      <w:r w:rsidR="00B61EBF">
        <w:rPr>
          <w:rFonts w:cs="Arial"/>
          <w:lang w:eastAsia="en-GB"/>
        </w:rPr>
        <w:t>C</w:t>
      </w:r>
      <w:r w:rsidRPr="009A5485">
        <w:rPr>
          <w:rFonts w:cs="Arial"/>
          <w:lang w:eastAsia="en-GB"/>
        </w:rPr>
        <w:t>lient forms exist and are up to date.</w:t>
      </w:r>
    </w:p>
    <w:p w14:paraId="2F436954" w14:textId="77777777" w:rsidR="00090517" w:rsidRPr="009A5485" w:rsidRDefault="00090517" w:rsidP="00B61EBF">
      <w:pPr>
        <w:pStyle w:val="ListBullet"/>
        <w:numPr>
          <w:ilvl w:val="0"/>
          <w:numId w:val="3"/>
        </w:numPr>
        <w:tabs>
          <w:tab w:val="clear" w:pos="360"/>
          <w:tab w:val="num" w:pos="851"/>
        </w:tabs>
        <w:spacing w:before="0" w:after="120"/>
        <w:ind w:left="850" w:hanging="425"/>
        <w:rPr>
          <w:rStyle w:val="ListBulletChar"/>
          <w:rFonts w:cs="Arial"/>
        </w:rPr>
      </w:pPr>
      <w:r w:rsidRPr="009A5485">
        <w:rPr>
          <w:rFonts w:cs="Arial"/>
          <w:lang w:eastAsia="en-GB"/>
        </w:rPr>
        <w:t>The client’s risk profile is recorded and remains appropriate.</w:t>
      </w:r>
    </w:p>
    <w:p w14:paraId="6ECCD3DC" w14:textId="37444E69" w:rsidR="006D61AA" w:rsidRPr="009A5485" w:rsidRDefault="006D61AA" w:rsidP="00065224">
      <w:pPr>
        <w:pStyle w:val="BodyText"/>
        <w:spacing w:before="0"/>
        <w:rPr>
          <w:rFonts w:cs="Arial"/>
        </w:rPr>
      </w:pPr>
      <w:r w:rsidRPr="009A5485">
        <w:rPr>
          <w:rFonts w:cs="Arial"/>
        </w:rPr>
        <w:t xml:space="preserve">As part of the firm’s </w:t>
      </w:r>
      <w:r w:rsidR="00B61EBF">
        <w:rPr>
          <w:rFonts w:cs="Arial"/>
        </w:rPr>
        <w:t xml:space="preserve">CDD </w:t>
      </w:r>
      <w:r w:rsidRPr="009A5485">
        <w:rPr>
          <w:rFonts w:cs="Arial"/>
        </w:rPr>
        <w:t xml:space="preserve">procedures, consideration must be given to establishing whether the client is a </w:t>
      </w:r>
      <w:r w:rsidR="00B61EBF">
        <w:rPr>
          <w:rFonts w:cs="Arial"/>
        </w:rPr>
        <w:t>PEP</w:t>
      </w:r>
      <w:r w:rsidRPr="009A5485">
        <w:rPr>
          <w:rFonts w:cs="Arial"/>
        </w:rPr>
        <w:t xml:space="preserve">, or a family member or close associate of a </w:t>
      </w:r>
      <w:r w:rsidR="00B61EBF">
        <w:rPr>
          <w:rFonts w:cs="Arial"/>
        </w:rPr>
        <w:t>PEP</w:t>
      </w:r>
      <w:r w:rsidRPr="009A5485">
        <w:rPr>
          <w:rFonts w:cs="Arial"/>
        </w:rPr>
        <w:t>.</w:t>
      </w:r>
    </w:p>
    <w:p w14:paraId="42E89FCC" w14:textId="1476E14B" w:rsidR="006D61AA" w:rsidRPr="009A5485" w:rsidRDefault="00B61EBF" w:rsidP="00065224">
      <w:pPr>
        <w:pStyle w:val="BodyText"/>
        <w:spacing w:before="0"/>
        <w:rPr>
          <w:rFonts w:cs="Arial"/>
        </w:rPr>
      </w:pPr>
      <w:r>
        <w:rPr>
          <w:rFonts w:cs="Arial"/>
        </w:rPr>
        <w:t>Due to</w:t>
      </w:r>
      <w:r w:rsidR="006D61AA" w:rsidRPr="009A5485">
        <w:rPr>
          <w:rFonts w:cs="Arial"/>
        </w:rPr>
        <w:t xml:space="preserve"> the increased risk involved</w:t>
      </w:r>
      <w:r>
        <w:rPr>
          <w:rFonts w:cs="Arial"/>
        </w:rPr>
        <w:t>,</w:t>
      </w:r>
      <w:r w:rsidR="006D61AA" w:rsidRPr="009A5485">
        <w:rPr>
          <w:rFonts w:cs="Arial"/>
        </w:rPr>
        <w:t xml:space="preserve"> the firm will not seek to rely on </w:t>
      </w:r>
      <w:r>
        <w:rPr>
          <w:rFonts w:cs="Arial"/>
        </w:rPr>
        <w:t>CDD</w:t>
      </w:r>
      <w:r w:rsidR="006D61AA" w:rsidRPr="009A5485">
        <w:rPr>
          <w:rFonts w:cs="Arial"/>
        </w:rPr>
        <w:t xml:space="preserve"> evidence obtained by others. Instead, where we are acting for a mutual client who has already provided adequate </w:t>
      </w:r>
      <w:r w:rsidR="00471BB6">
        <w:rPr>
          <w:rFonts w:cs="Arial"/>
        </w:rPr>
        <w:t>CDD</w:t>
      </w:r>
      <w:r w:rsidR="006D61AA" w:rsidRPr="009A5485">
        <w:rPr>
          <w:rFonts w:cs="Arial"/>
        </w:rPr>
        <w:t xml:space="preserve"> to a financial or credit institution, firm of accountants or a lawyer, </w:t>
      </w:r>
      <w:r w:rsidR="00040FFA">
        <w:rPr>
          <w:rFonts w:cs="Arial"/>
        </w:rPr>
        <w:t>the firm</w:t>
      </w:r>
      <w:r w:rsidR="006D61AA" w:rsidRPr="009A5485">
        <w:rPr>
          <w:rFonts w:cs="Arial"/>
        </w:rPr>
        <w:t xml:space="preserve"> should seek certified copies of that evidence </w:t>
      </w:r>
      <w:r w:rsidR="0012081B">
        <w:rPr>
          <w:rFonts w:cs="Arial"/>
        </w:rPr>
        <w:t>to prevent</w:t>
      </w:r>
      <w:r w:rsidR="006D61AA" w:rsidRPr="009A5485">
        <w:rPr>
          <w:rFonts w:cs="Arial"/>
        </w:rPr>
        <w:t xml:space="preserve"> the client </w:t>
      </w:r>
      <w:r w:rsidR="0012081B">
        <w:rPr>
          <w:rFonts w:cs="Arial"/>
        </w:rPr>
        <w:t>from</w:t>
      </w:r>
      <w:r w:rsidR="006D61AA" w:rsidRPr="009A5485">
        <w:rPr>
          <w:rFonts w:cs="Arial"/>
        </w:rPr>
        <w:t xml:space="preserve"> produc</w:t>
      </w:r>
      <w:r w:rsidR="0012081B">
        <w:rPr>
          <w:rFonts w:cs="Arial"/>
        </w:rPr>
        <w:t>ing</w:t>
      </w:r>
      <w:r w:rsidR="006D61AA" w:rsidRPr="009A5485">
        <w:rPr>
          <w:rFonts w:cs="Arial"/>
        </w:rPr>
        <w:t xml:space="preserve"> identification evidence </w:t>
      </w:r>
      <w:r w:rsidR="0012081B">
        <w:rPr>
          <w:rFonts w:cs="Arial"/>
        </w:rPr>
        <w:t>numerous times</w:t>
      </w:r>
      <w:r w:rsidR="006D61AA" w:rsidRPr="009A5485">
        <w:rPr>
          <w:rFonts w:cs="Arial"/>
        </w:rPr>
        <w:t xml:space="preserve">. </w:t>
      </w:r>
    </w:p>
    <w:p w14:paraId="71473F21" w14:textId="67F090C8" w:rsidR="006D61AA" w:rsidRPr="009A5485" w:rsidRDefault="006D61AA" w:rsidP="00065224">
      <w:pPr>
        <w:pStyle w:val="BodyText"/>
        <w:spacing w:before="0"/>
        <w:rPr>
          <w:rFonts w:cs="Arial"/>
        </w:rPr>
      </w:pPr>
      <w:r w:rsidRPr="009A5485">
        <w:rPr>
          <w:rFonts w:cs="Arial"/>
        </w:rPr>
        <w:t xml:space="preserve">Similarly, we will not allow other firms to rely on our </w:t>
      </w:r>
      <w:r w:rsidR="0012081B">
        <w:rPr>
          <w:rFonts w:cs="Arial"/>
        </w:rPr>
        <w:t>CDD</w:t>
      </w:r>
      <w:r w:rsidRPr="009A5485">
        <w:rPr>
          <w:rFonts w:cs="Arial"/>
        </w:rPr>
        <w:t xml:space="preserve"> evidence. However, if we are acting for a mutual </w:t>
      </w:r>
      <w:proofErr w:type="gramStart"/>
      <w:r w:rsidRPr="009A5485">
        <w:rPr>
          <w:rFonts w:cs="Arial"/>
        </w:rPr>
        <w:t>client</w:t>
      </w:r>
      <w:proofErr w:type="gramEnd"/>
      <w:r w:rsidRPr="009A5485">
        <w:rPr>
          <w:rFonts w:cs="Arial"/>
        </w:rPr>
        <w:t xml:space="preserve"> we will normally provide the other firm with certified copies should they ask for them.</w:t>
      </w:r>
    </w:p>
    <w:p w14:paraId="554DD604" w14:textId="77777777" w:rsidR="006D61AA" w:rsidRPr="009A5485" w:rsidRDefault="006D61AA" w:rsidP="00AC7535">
      <w:pPr>
        <w:pStyle w:val="Heading4"/>
        <w:spacing w:before="0" w:after="120"/>
        <w:rPr>
          <w:rStyle w:val="Hyperlink"/>
          <w:rFonts w:cs="Arial"/>
          <w:color w:val="auto"/>
          <w:sz w:val="20"/>
          <w:szCs w:val="20"/>
        </w:rPr>
      </w:pPr>
      <w:r w:rsidRPr="009A5485">
        <w:rPr>
          <w:rStyle w:val="Hyperlink"/>
          <w:rFonts w:cs="Arial"/>
          <w:color w:val="auto"/>
          <w:sz w:val="20"/>
          <w:szCs w:val="20"/>
        </w:rPr>
        <w:t>Ongoing monitoring</w:t>
      </w:r>
    </w:p>
    <w:p w14:paraId="26182934" w14:textId="77777777" w:rsidR="006D61AA" w:rsidRPr="009A5485" w:rsidRDefault="006D61AA" w:rsidP="00AC7535">
      <w:pPr>
        <w:pStyle w:val="BodyText"/>
        <w:spacing w:before="0"/>
        <w:rPr>
          <w:rFonts w:cs="Arial"/>
        </w:rPr>
      </w:pPr>
      <w:r w:rsidRPr="008F69EC">
        <w:rPr>
          <w:rFonts w:cs="Arial"/>
        </w:rPr>
        <w:t xml:space="preserve">We must maintain appropriate ongoing monitoring of all client transactions to prevent activities related to money laundering and terrorist financing. This applies even </w:t>
      </w:r>
      <w:r w:rsidRPr="009A5485">
        <w:rPr>
          <w:rFonts w:cs="Arial"/>
        </w:rPr>
        <w:t>where the client qualifies for simplified customer due diligence measures.</w:t>
      </w:r>
    </w:p>
    <w:p w14:paraId="07F169E4" w14:textId="31C40281" w:rsidR="006D61AA" w:rsidRPr="009A5485" w:rsidRDefault="006D61AA" w:rsidP="00AC7535">
      <w:pPr>
        <w:pStyle w:val="BodyText"/>
        <w:spacing w:before="0"/>
        <w:rPr>
          <w:rFonts w:cs="Arial"/>
        </w:rPr>
      </w:pPr>
      <w:r w:rsidRPr="009A5485">
        <w:rPr>
          <w:rFonts w:cs="Arial"/>
        </w:rPr>
        <w:t xml:space="preserve">In future years, steps 1 to 5 </w:t>
      </w:r>
      <w:r w:rsidR="009F4CE2">
        <w:rPr>
          <w:rFonts w:cs="Arial"/>
        </w:rPr>
        <w:t xml:space="preserve">(outlined above) </w:t>
      </w:r>
      <w:r w:rsidRPr="009A5485">
        <w:rPr>
          <w:rFonts w:cs="Arial"/>
        </w:rPr>
        <w:t xml:space="preserve">should be reviewed </w:t>
      </w:r>
      <w:r w:rsidR="009F4CE2">
        <w:rPr>
          <w:rFonts w:cs="Arial"/>
        </w:rPr>
        <w:t xml:space="preserve">annually </w:t>
      </w:r>
      <w:r w:rsidRPr="009A5485">
        <w:rPr>
          <w:rFonts w:cs="Arial"/>
        </w:rPr>
        <w:t>to ensure the information held is still appropriate.</w:t>
      </w:r>
    </w:p>
    <w:p w14:paraId="5377F391" w14:textId="77777777" w:rsidR="006D61AA" w:rsidRPr="009A5485" w:rsidRDefault="006D61AA" w:rsidP="00AC7535">
      <w:pPr>
        <w:pStyle w:val="Heading4"/>
        <w:spacing w:before="0" w:after="120"/>
        <w:rPr>
          <w:rStyle w:val="Hyperlink"/>
          <w:rFonts w:cs="Arial"/>
          <w:color w:val="auto"/>
          <w:sz w:val="20"/>
          <w:szCs w:val="20"/>
        </w:rPr>
      </w:pPr>
      <w:r w:rsidRPr="009A5485">
        <w:rPr>
          <w:rStyle w:val="Hyperlink"/>
          <w:rFonts w:cs="Arial"/>
          <w:color w:val="auto"/>
          <w:sz w:val="20"/>
          <w:szCs w:val="20"/>
        </w:rPr>
        <w:t>Reporting of suspicious transactions</w:t>
      </w:r>
    </w:p>
    <w:p w14:paraId="3BC7F42B" w14:textId="77777777" w:rsidR="006D61AA" w:rsidRPr="009A5485" w:rsidRDefault="006D61AA" w:rsidP="00AC7535">
      <w:pPr>
        <w:pStyle w:val="BodyText"/>
        <w:spacing w:before="0"/>
        <w:rPr>
          <w:rFonts w:cs="Arial"/>
        </w:rPr>
      </w:pPr>
      <w:r w:rsidRPr="008F69EC">
        <w:rPr>
          <w:rFonts w:cs="Arial"/>
        </w:rPr>
        <w:t xml:space="preserve">All </w:t>
      </w:r>
      <w:r w:rsidRPr="009A5485">
        <w:rPr>
          <w:rFonts w:cs="Arial"/>
        </w:rPr>
        <w:t xml:space="preserve">principals and staff must report knowledge or suspicion of money laundering, whether it relates to clients or anyone else. Before deciding that a potentially suspect activity is not suspicious, you should consider whether the information you have might provide “reasonable grounds for knowledge or suspicion”. </w:t>
      </w:r>
    </w:p>
    <w:p w14:paraId="00EEDE15" w14:textId="0197EA19" w:rsidR="006D61AA" w:rsidRPr="009A5485" w:rsidRDefault="006D61AA" w:rsidP="00AC7535">
      <w:pPr>
        <w:pStyle w:val="BodyText"/>
        <w:spacing w:before="0"/>
        <w:rPr>
          <w:rFonts w:cs="Arial"/>
        </w:rPr>
      </w:pPr>
      <w:r w:rsidRPr="009A5485">
        <w:rPr>
          <w:rFonts w:cs="Arial"/>
        </w:rPr>
        <w:t xml:space="preserve">If in doubt, discuss your concerns with the firm’s MLRO </w:t>
      </w:r>
      <w:r w:rsidR="00603B35">
        <w:rPr>
          <w:rFonts w:cs="Arial"/>
        </w:rPr>
        <w:t>[</w:t>
      </w:r>
      <w:r w:rsidR="00072866" w:rsidRPr="009A5485">
        <w:rPr>
          <w:rFonts w:cs="Arial"/>
          <w:highlight w:val="yellow"/>
        </w:rPr>
        <w:t xml:space="preserve">insert </w:t>
      </w:r>
      <w:r w:rsidRPr="009A5485">
        <w:rPr>
          <w:rFonts w:cs="Arial"/>
          <w:highlight w:val="yellow"/>
        </w:rPr>
        <w:t>name of MLRO</w:t>
      </w:r>
      <w:r w:rsidR="00603B35">
        <w:rPr>
          <w:rFonts w:cs="Arial"/>
        </w:rPr>
        <w:t>]</w:t>
      </w:r>
      <w:r w:rsidRPr="009A5485">
        <w:rPr>
          <w:rFonts w:cs="Arial"/>
        </w:rPr>
        <w:t xml:space="preserve"> or deputy MLRO </w:t>
      </w:r>
      <w:r w:rsidR="00603B35">
        <w:rPr>
          <w:rFonts w:cs="Arial"/>
        </w:rPr>
        <w:t>[</w:t>
      </w:r>
      <w:r w:rsidR="00072866" w:rsidRPr="009A5485">
        <w:rPr>
          <w:rFonts w:cs="Arial"/>
          <w:highlight w:val="yellow"/>
        </w:rPr>
        <w:t xml:space="preserve">insert </w:t>
      </w:r>
      <w:r w:rsidRPr="009A5485">
        <w:rPr>
          <w:rFonts w:cs="Arial"/>
          <w:highlight w:val="yellow"/>
        </w:rPr>
        <w:t>name of deputy MLRO</w:t>
      </w:r>
      <w:r w:rsidR="00603B35">
        <w:rPr>
          <w:rFonts w:cs="Arial"/>
        </w:rPr>
        <w:t>]</w:t>
      </w:r>
      <w:r w:rsidRPr="009A5485">
        <w:rPr>
          <w:rFonts w:cs="Arial"/>
        </w:rPr>
        <w:t>.</w:t>
      </w:r>
    </w:p>
    <w:p w14:paraId="66CA718A" w14:textId="77777777" w:rsidR="005136FD" w:rsidRPr="009A5485" w:rsidRDefault="005136FD" w:rsidP="00AC7535">
      <w:pPr>
        <w:pStyle w:val="Heading4"/>
        <w:spacing w:before="0" w:after="120"/>
        <w:rPr>
          <w:rStyle w:val="Hyperlink"/>
          <w:rFonts w:cs="Arial"/>
          <w:color w:val="auto"/>
          <w:sz w:val="20"/>
          <w:szCs w:val="20"/>
        </w:rPr>
      </w:pPr>
      <w:r w:rsidRPr="009A5485">
        <w:rPr>
          <w:rStyle w:val="Hyperlink"/>
          <w:rFonts w:cs="Arial"/>
          <w:color w:val="auto"/>
          <w:sz w:val="20"/>
          <w:szCs w:val="20"/>
        </w:rPr>
        <w:t>Avoiding tipping off</w:t>
      </w:r>
    </w:p>
    <w:p w14:paraId="7F72B7E3" w14:textId="77777777" w:rsidR="005136FD" w:rsidRPr="009A5485" w:rsidRDefault="005136FD" w:rsidP="00AC7535">
      <w:pPr>
        <w:pStyle w:val="BodyText"/>
        <w:spacing w:before="0"/>
        <w:rPr>
          <w:rFonts w:cs="Arial"/>
        </w:rPr>
      </w:pPr>
      <w:r w:rsidRPr="008F69EC">
        <w:rPr>
          <w:rFonts w:cs="Arial"/>
        </w:rPr>
        <w:t xml:space="preserve">In the event of a report being made to the MLRO or to </w:t>
      </w:r>
      <w:r w:rsidR="00425760" w:rsidRPr="009A5485">
        <w:rPr>
          <w:rFonts w:cs="Arial"/>
        </w:rPr>
        <w:t>NCA</w:t>
      </w:r>
      <w:r w:rsidRPr="009A5485">
        <w:rPr>
          <w:rFonts w:cs="Arial"/>
        </w:rPr>
        <w:t xml:space="preserve">, or to any other person authorised to receive disclosures including the police and HM Revenue &amp; Customs, then under no circumstances must the client be informed. This means that the client must </w:t>
      </w:r>
      <w:r w:rsidRPr="009A5485">
        <w:rPr>
          <w:rFonts w:cs="Arial"/>
          <w:u w:val="single"/>
        </w:rPr>
        <w:t>not</w:t>
      </w:r>
      <w:r w:rsidRPr="009A5485">
        <w:rPr>
          <w:rFonts w:cs="Arial"/>
        </w:rPr>
        <w:t xml:space="preserve"> be made aware that a report has been made. It also means that the client should </w:t>
      </w:r>
      <w:r w:rsidRPr="009A5485">
        <w:rPr>
          <w:rFonts w:cs="Arial"/>
          <w:u w:val="single"/>
        </w:rPr>
        <w:t>not</w:t>
      </w:r>
      <w:r w:rsidRPr="009A5485">
        <w:rPr>
          <w:rFonts w:cs="Arial"/>
        </w:rPr>
        <w:t xml:space="preserve"> be made aware if an investigation into allegations that a money laundering offence has been committed is being contemplated or carried out.</w:t>
      </w:r>
    </w:p>
    <w:p w14:paraId="6F057553" w14:textId="77777777" w:rsidR="005136FD" w:rsidRPr="009A5485" w:rsidRDefault="005136FD" w:rsidP="00AC7535">
      <w:pPr>
        <w:pStyle w:val="BodyText"/>
        <w:spacing w:before="0"/>
        <w:rPr>
          <w:rFonts w:cs="Arial"/>
        </w:rPr>
      </w:pPr>
      <w:r w:rsidRPr="009A5485">
        <w:rPr>
          <w:rFonts w:cs="Arial"/>
        </w:rPr>
        <w:t>If it appears to be necessary to disclose the existence of a report or an actual or contemplated investigation to any other person (i.e. not the client) then the MLRO must be consulted before any disclosure is made.</w:t>
      </w:r>
    </w:p>
    <w:p w14:paraId="3F72E6B7" w14:textId="77777777" w:rsidR="005136FD" w:rsidRPr="009A5485" w:rsidRDefault="005136FD" w:rsidP="00AC7535">
      <w:pPr>
        <w:pStyle w:val="BodyText"/>
        <w:spacing w:before="0"/>
        <w:rPr>
          <w:rFonts w:cs="Arial"/>
        </w:rPr>
      </w:pPr>
      <w:r w:rsidRPr="009A5485">
        <w:rPr>
          <w:rFonts w:cs="Arial"/>
        </w:rPr>
        <w:t>A qualified accountant or tax adviser can try to dissuade a client from committing a criminal offence without fear that the discussion could be treated as tipping off. However</w:t>
      </w:r>
      <w:r w:rsidR="00844725" w:rsidRPr="009A5485">
        <w:rPr>
          <w:rFonts w:cs="Arial"/>
        </w:rPr>
        <w:t>,</w:t>
      </w:r>
      <w:r w:rsidRPr="009A5485">
        <w:rPr>
          <w:rFonts w:cs="Arial"/>
        </w:rPr>
        <w:t xml:space="preserve"> this should not </w:t>
      </w:r>
      <w:proofErr w:type="gramStart"/>
      <w:r w:rsidRPr="009A5485">
        <w:rPr>
          <w:rFonts w:cs="Arial"/>
        </w:rPr>
        <w:t>make reference</w:t>
      </w:r>
      <w:proofErr w:type="gramEnd"/>
      <w:r w:rsidRPr="009A5485">
        <w:rPr>
          <w:rFonts w:cs="Arial"/>
        </w:rPr>
        <w:t xml:space="preserve"> to any reports that have been or would be made.</w:t>
      </w:r>
    </w:p>
    <w:p w14:paraId="3609D42C" w14:textId="5BBDA752" w:rsidR="006D61AA" w:rsidRPr="009A5485" w:rsidRDefault="006D61AA" w:rsidP="00703CA0">
      <w:pPr>
        <w:pStyle w:val="Heading4"/>
        <w:rPr>
          <w:rStyle w:val="Hyperlink"/>
          <w:rFonts w:cs="Arial"/>
          <w:color w:val="auto"/>
          <w:sz w:val="20"/>
          <w:szCs w:val="20"/>
        </w:rPr>
      </w:pPr>
      <w:r w:rsidRPr="009A5485">
        <w:rPr>
          <w:rStyle w:val="Hyperlink"/>
          <w:rFonts w:cs="Arial"/>
          <w:color w:val="auto"/>
          <w:sz w:val="20"/>
          <w:szCs w:val="20"/>
        </w:rPr>
        <w:t>Record keeping</w:t>
      </w:r>
    </w:p>
    <w:p w14:paraId="321D5FB9" w14:textId="77777777" w:rsidR="006D61AA" w:rsidRPr="009A5485" w:rsidRDefault="006D61AA" w:rsidP="006D61AA">
      <w:pPr>
        <w:pStyle w:val="BodyText"/>
        <w:rPr>
          <w:rFonts w:cs="Arial"/>
        </w:rPr>
      </w:pPr>
      <w:r w:rsidRPr="008F69EC">
        <w:rPr>
          <w:rFonts w:cs="Arial"/>
        </w:rPr>
        <w:t>We will keep full records of:</w:t>
      </w:r>
    </w:p>
    <w:p w14:paraId="2BEDF77A" w14:textId="50F86766" w:rsidR="006D61AA" w:rsidRPr="009A5485" w:rsidRDefault="007E2FE3" w:rsidP="007E2FE3">
      <w:pPr>
        <w:pStyle w:val="ListBullet"/>
        <w:tabs>
          <w:tab w:val="clear" w:pos="360"/>
          <w:tab w:val="num" w:pos="851"/>
        </w:tabs>
        <w:spacing w:before="0" w:after="0"/>
        <w:ind w:left="851" w:hanging="284"/>
        <w:rPr>
          <w:rFonts w:cs="Arial"/>
        </w:rPr>
      </w:pPr>
      <w:r>
        <w:rPr>
          <w:rFonts w:cs="Arial"/>
        </w:rPr>
        <w:t>C</w:t>
      </w:r>
      <w:r w:rsidR="006D61AA" w:rsidRPr="009A5485">
        <w:rPr>
          <w:rFonts w:cs="Arial"/>
        </w:rPr>
        <w:t xml:space="preserve">ustomer due diligence </w:t>
      </w:r>
      <w:proofErr w:type="gramStart"/>
      <w:r w:rsidR="006D61AA" w:rsidRPr="009A5485">
        <w:rPr>
          <w:rFonts w:cs="Arial"/>
        </w:rPr>
        <w:t>checks</w:t>
      </w:r>
      <w:r w:rsidR="00E45078">
        <w:rPr>
          <w:rFonts w:cs="Arial"/>
        </w:rPr>
        <w:t>;</w:t>
      </w:r>
      <w:proofErr w:type="gramEnd"/>
    </w:p>
    <w:p w14:paraId="633BD0CB" w14:textId="64A381AE" w:rsidR="006D61AA" w:rsidRPr="009A5485" w:rsidRDefault="007E2FE3" w:rsidP="007E2FE3">
      <w:pPr>
        <w:pStyle w:val="ListBullet"/>
        <w:tabs>
          <w:tab w:val="clear" w:pos="360"/>
          <w:tab w:val="num" w:pos="851"/>
        </w:tabs>
        <w:spacing w:before="0" w:after="0"/>
        <w:ind w:left="851" w:hanging="284"/>
        <w:rPr>
          <w:rFonts w:cs="Arial"/>
        </w:rPr>
      </w:pPr>
      <w:r>
        <w:rPr>
          <w:rFonts w:cs="Arial"/>
        </w:rPr>
        <w:lastRenderedPageBreak/>
        <w:t>D</w:t>
      </w:r>
      <w:r w:rsidR="006D61AA" w:rsidRPr="009A5485">
        <w:rPr>
          <w:rFonts w:cs="Arial"/>
        </w:rPr>
        <w:t xml:space="preserve">etails of beneficial </w:t>
      </w:r>
      <w:proofErr w:type="gramStart"/>
      <w:r w:rsidR="006D61AA" w:rsidRPr="009A5485">
        <w:rPr>
          <w:rFonts w:cs="Arial"/>
        </w:rPr>
        <w:t>ownership</w:t>
      </w:r>
      <w:r w:rsidR="00E45078">
        <w:rPr>
          <w:rFonts w:cs="Arial"/>
        </w:rPr>
        <w:t>;</w:t>
      </w:r>
      <w:proofErr w:type="gramEnd"/>
    </w:p>
    <w:p w14:paraId="08C5F4E9" w14:textId="6FB2D0F1" w:rsidR="006D61AA" w:rsidRPr="009A5485" w:rsidRDefault="007E2FE3" w:rsidP="007E2FE3">
      <w:pPr>
        <w:pStyle w:val="ListBullet"/>
        <w:tabs>
          <w:tab w:val="clear" w:pos="360"/>
          <w:tab w:val="num" w:pos="851"/>
        </w:tabs>
        <w:spacing w:before="0" w:after="0"/>
        <w:ind w:left="851" w:hanging="284"/>
        <w:rPr>
          <w:rFonts w:cs="Arial"/>
        </w:rPr>
      </w:pPr>
      <w:r>
        <w:rPr>
          <w:rFonts w:cs="Arial"/>
        </w:rPr>
        <w:t>K</w:t>
      </w:r>
      <w:r w:rsidR="006D61AA" w:rsidRPr="009A5485">
        <w:rPr>
          <w:rFonts w:cs="Arial"/>
        </w:rPr>
        <w:t xml:space="preserve">now </w:t>
      </w:r>
      <w:r>
        <w:rPr>
          <w:rFonts w:cs="Arial"/>
        </w:rPr>
        <w:t>Y</w:t>
      </w:r>
      <w:r w:rsidR="006D61AA" w:rsidRPr="009A5485">
        <w:rPr>
          <w:rFonts w:cs="Arial"/>
        </w:rPr>
        <w:t xml:space="preserve">our </w:t>
      </w:r>
      <w:r>
        <w:rPr>
          <w:rFonts w:cs="Arial"/>
        </w:rPr>
        <w:t>C</w:t>
      </w:r>
      <w:r w:rsidR="006D61AA" w:rsidRPr="009A5485">
        <w:rPr>
          <w:rFonts w:cs="Arial"/>
        </w:rPr>
        <w:t xml:space="preserve">lient </w:t>
      </w:r>
      <w:proofErr w:type="gramStart"/>
      <w:r w:rsidR="006D61AA" w:rsidRPr="009A5485">
        <w:rPr>
          <w:rFonts w:cs="Arial"/>
        </w:rPr>
        <w:t>forms</w:t>
      </w:r>
      <w:r w:rsidR="00E45078">
        <w:rPr>
          <w:rFonts w:cs="Arial"/>
        </w:rPr>
        <w:t>;</w:t>
      </w:r>
      <w:proofErr w:type="gramEnd"/>
    </w:p>
    <w:p w14:paraId="2D51371B" w14:textId="3A069A7F" w:rsidR="006D61AA" w:rsidRPr="009A5485" w:rsidRDefault="007E2FE3" w:rsidP="007E2FE3">
      <w:pPr>
        <w:pStyle w:val="ListBullet"/>
        <w:tabs>
          <w:tab w:val="clear" w:pos="360"/>
          <w:tab w:val="num" w:pos="851"/>
        </w:tabs>
        <w:spacing w:before="0" w:after="0"/>
        <w:ind w:left="851" w:hanging="284"/>
        <w:rPr>
          <w:rFonts w:cs="Arial"/>
        </w:rPr>
      </w:pPr>
      <w:r>
        <w:rPr>
          <w:rFonts w:cs="Arial"/>
        </w:rPr>
        <w:t>E</w:t>
      </w:r>
      <w:r w:rsidR="006D61AA" w:rsidRPr="009A5485">
        <w:rPr>
          <w:rFonts w:cs="Arial"/>
        </w:rPr>
        <w:t xml:space="preserve">vidence of staff </w:t>
      </w:r>
      <w:proofErr w:type="gramStart"/>
      <w:r w:rsidR="006D61AA" w:rsidRPr="009A5485">
        <w:rPr>
          <w:rFonts w:cs="Arial"/>
        </w:rPr>
        <w:t>training</w:t>
      </w:r>
      <w:r w:rsidR="00E45078">
        <w:rPr>
          <w:rFonts w:cs="Arial"/>
        </w:rPr>
        <w:t>;</w:t>
      </w:r>
      <w:proofErr w:type="gramEnd"/>
    </w:p>
    <w:p w14:paraId="1FBBE3F2" w14:textId="2A61D82C" w:rsidR="006D61AA" w:rsidRPr="009A5485" w:rsidRDefault="007E2FE3" w:rsidP="007E2FE3">
      <w:pPr>
        <w:pStyle w:val="ListBullet"/>
        <w:tabs>
          <w:tab w:val="clear" w:pos="360"/>
          <w:tab w:val="num" w:pos="851"/>
        </w:tabs>
        <w:spacing w:before="0" w:after="0"/>
        <w:ind w:left="851" w:hanging="284"/>
        <w:rPr>
          <w:rFonts w:cs="Arial"/>
        </w:rPr>
      </w:pPr>
      <w:r>
        <w:rPr>
          <w:rFonts w:cs="Arial"/>
        </w:rPr>
        <w:t>I</w:t>
      </w:r>
      <w:r w:rsidR="006D61AA" w:rsidRPr="009A5485">
        <w:rPr>
          <w:rFonts w:cs="Arial"/>
        </w:rPr>
        <w:t xml:space="preserve">nternal reports to the </w:t>
      </w:r>
      <w:proofErr w:type="gramStart"/>
      <w:r w:rsidR="006D61AA" w:rsidRPr="009A5485">
        <w:rPr>
          <w:rFonts w:cs="Arial"/>
        </w:rPr>
        <w:t>MLRO</w:t>
      </w:r>
      <w:r w:rsidR="00E45078">
        <w:rPr>
          <w:rFonts w:cs="Arial"/>
        </w:rPr>
        <w:t>;</w:t>
      </w:r>
      <w:proofErr w:type="gramEnd"/>
    </w:p>
    <w:p w14:paraId="06248C4A" w14:textId="06AEE841" w:rsidR="006D61AA" w:rsidRPr="009A5485" w:rsidRDefault="007E2FE3" w:rsidP="007E2FE3">
      <w:pPr>
        <w:pStyle w:val="ListBullet"/>
        <w:tabs>
          <w:tab w:val="clear" w:pos="360"/>
          <w:tab w:val="num" w:pos="851"/>
        </w:tabs>
        <w:spacing w:before="0" w:after="0"/>
        <w:ind w:left="851" w:hanging="284"/>
        <w:rPr>
          <w:rFonts w:cs="Arial"/>
        </w:rPr>
      </w:pPr>
      <w:r>
        <w:rPr>
          <w:rFonts w:cs="Arial"/>
        </w:rPr>
        <w:t>E</w:t>
      </w:r>
      <w:r w:rsidR="006D61AA" w:rsidRPr="009A5485">
        <w:rPr>
          <w:rFonts w:cs="Arial"/>
        </w:rPr>
        <w:t xml:space="preserve">xternal reports to </w:t>
      </w:r>
      <w:proofErr w:type="gramStart"/>
      <w:r w:rsidR="00425760" w:rsidRPr="009A5485">
        <w:rPr>
          <w:rFonts w:cs="Arial"/>
        </w:rPr>
        <w:t>NCA</w:t>
      </w:r>
      <w:r w:rsidR="00E45078">
        <w:rPr>
          <w:rFonts w:cs="Arial"/>
        </w:rPr>
        <w:t>;</w:t>
      </w:r>
      <w:proofErr w:type="gramEnd"/>
    </w:p>
    <w:p w14:paraId="4326B066" w14:textId="7F10B809" w:rsidR="006D61AA" w:rsidRPr="009A5485" w:rsidRDefault="007E2FE3" w:rsidP="007E2FE3">
      <w:pPr>
        <w:pStyle w:val="ListBullet"/>
        <w:tabs>
          <w:tab w:val="clear" w:pos="360"/>
          <w:tab w:val="num" w:pos="851"/>
        </w:tabs>
        <w:spacing w:before="0" w:after="0"/>
        <w:ind w:left="851" w:hanging="284"/>
        <w:rPr>
          <w:rFonts w:cs="Arial"/>
        </w:rPr>
      </w:pPr>
      <w:r>
        <w:rPr>
          <w:rFonts w:cs="Arial"/>
        </w:rPr>
        <w:t>T</w:t>
      </w:r>
      <w:r w:rsidR="006D61AA" w:rsidRPr="009A5485">
        <w:rPr>
          <w:rFonts w:cs="Arial"/>
        </w:rPr>
        <w:t xml:space="preserve">he firm’s risk </w:t>
      </w:r>
      <w:proofErr w:type="gramStart"/>
      <w:r w:rsidR="006D61AA" w:rsidRPr="009A5485">
        <w:rPr>
          <w:rFonts w:cs="Arial"/>
        </w:rPr>
        <w:t>assessment</w:t>
      </w:r>
      <w:r w:rsidR="00E45078">
        <w:rPr>
          <w:rFonts w:cs="Arial"/>
        </w:rPr>
        <w:t>;</w:t>
      </w:r>
      <w:proofErr w:type="gramEnd"/>
    </w:p>
    <w:p w14:paraId="3E4A17C4" w14:textId="15AAA0DA" w:rsidR="006D61AA" w:rsidRPr="009A5485" w:rsidRDefault="007E2FE3" w:rsidP="007E2FE3">
      <w:pPr>
        <w:pStyle w:val="ListBullet"/>
        <w:tabs>
          <w:tab w:val="clear" w:pos="360"/>
          <w:tab w:val="num" w:pos="851"/>
        </w:tabs>
        <w:spacing w:before="0" w:after="0"/>
        <w:ind w:left="851" w:hanging="284"/>
        <w:rPr>
          <w:rFonts w:cs="Arial"/>
        </w:rPr>
      </w:pPr>
      <w:r>
        <w:rPr>
          <w:rFonts w:cs="Arial"/>
        </w:rPr>
        <w:t>T</w:t>
      </w:r>
      <w:r w:rsidR="006D61AA" w:rsidRPr="009A5485">
        <w:rPr>
          <w:rFonts w:cs="Arial"/>
        </w:rPr>
        <w:t>he firm’s compliance checks</w:t>
      </w:r>
      <w:r w:rsidR="00E45078">
        <w:rPr>
          <w:rFonts w:cs="Arial"/>
        </w:rPr>
        <w:t>; and</w:t>
      </w:r>
    </w:p>
    <w:p w14:paraId="3B7E8475" w14:textId="4DE99154" w:rsidR="006D61AA" w:rsidRPr="009A5485" w:rsidRDefault="007E2FE3" w:rsidP="007E2FE3">
      <w:pPr>
        <w:pStyle w:val="ListBullet"/>
        <w:tabs>
          <w:tab w:val="clear" w:pos="360"/>
          <w:tab w:val="num" w:pos="851"/>
        </w:tabs>
        <w:spacing w:before="0" w:after="0"/>
        <w:ind w:left="851" w:hanging="284"/>
        <w:rPr>
          <w:rFonts w:cs="Arial"/>
        </w:rPr>
      </w:pPr>
      <w:r>
        <w:rPr>
          <w:rFonts w:cs="Arial"/>
        </w:rPr>
        <w:t>T</w:t>
      </w:r>
      <w:r w:rsidR="006D61AA" w:rsidRPr="009A5485">
        <w:rPr>
          <w:rFonts w:cs="Arial"/>
        </w:rPr>
        <w:t>ransaction files</w:t>
      </w:r>
      <w:r w:rsidR="00E45078">
        <w:rPr>
          <w:rFonts w:cs="Arial"/>
        </w:rPr>
        <w:t>.</w:t>
      </w:r>
    </w:p>
    <w:p w14:paraId="7FAC5690" w14:textId="1358B2F0" w:rsidR="006D61AA" w:rsidRPr="009A5485" w:rsidRDefault="006D61AA" w:rsidP="006D61AA">
      <w:pPr>
        <w:pStyle w:val="BodyText"/>
        <w:rPr>
          <w:rFonts w:cs="Arial"/>
        </w:rPr>
      </w:pPr>
      <w:r w:rsidRPr="009A5485">
        <w:rPr>
          <w:rFonts w:cs="Arial"/>
        </w:rPr>
        <w:t>All such records shall be retained for at least six</w:t>
      </w:r>
      <w:r w:rsidRPr="008F69EC">
        <w:rPr>
          <w:rFonts w:cs="Arial"/>
        </w:rPr>
        <w:t xml:space="preserve"> years. The latest records of </w:t>
      </w:r>
      <w:r w:rsidR="00E45078">
        <w:rPr>
          <w:rFonts w:cs="Arial"/>
        </w:rPr>
        <w:t xml:space="preserve">CDD </w:t>
      </w:r>
      <w:r w:rsidRPr="009A5485">
        <w:rPr>
          <w:rFonts w:cs="Arial"/>
        </w:rPr>
        <w:t xml:space="preserve">checks, details of beneficial ownership and </w:t>
      </w:r>
      <w:r w:rsidR="00EE67D3">
        <w:rPr>
          <w:rFonts w:cs="Arial"/>
        </w:rPr>
        <w:t>K</w:t>
      </w:r>
      <w:r w:rsidRPr="009A5485">
        <w:rPr>
          <w:rFonts w:cs="Arial"/>
        </w:rPr>
        <w:t xml:space="preserve">now </w:t>
      </w:r>
      <w:r w:rsidR="00EE67D3">
        <w:rPr>
          <w:rFonts w:cs="Arial"/>
        </w:rPr>
        <w:t>Y</w:t>
      </w:r>
      <w:r w:rsidRPr="009A5485">
        <w:rPr>
          <w:rFonts w:cs="Arial"/>
        </w:rPr>
        <w:t xml:space="preserve">our </w:t>
      </w:r>
      <w:r w:rsidR="00EE67D3">
        <w:rPr>
          <w:rFonts w:cs="Arial"/>
        </w:rPr>
        <w:t>C</w:t>
      </w:r>
      <w:r w:rsidRPr="009A5485">
        <w:rPr>
          <w:rFonts w:cs="Arial"/>
        </w:rPr>
        <w:t>lient forms for clients with whom we had a business relationship will be kept for at least six years from the end of the relationship.</w:t>
      </w:r>
      <w:r w:rsidR="00164F40" w:rsidRPr="009A5485">
        <w:rPr>
          <w:rFonts w:cs="Arial"/>
        </w:rPr>
        <w:t xml:space="preserve">  </w:t>
      </w:r>
    </w:p>
    <w:p w14:paraId="1181DF41" w14:textId="77777777" w:rsidR="006D61AA" w:rsidRPr="009A5485" w:rsidRDefault="006D61AA" w:rsidP="00E95AD2">
      <w:pPr>
        <w:pStyle w:val="Heading4"/>
        <w:spacing w:before="0" w:after="120"/>
        <w:rPr>
          <w:rStyle w:val="Hyperlink"/>
          <w:rFonts w:cs="Arial"/>
          <w:color w:val="auto"/>
          <w:sz w:val="20"/>
          <w:szCs w:val="20"/>
        </w:rPr>
      </w:pPr>
      <w:r w:rsidRPr="009A5485">
        <w:rPr>
          <w:rStyle w:val="Hyperlink"/>
          <w:rFonts w:cs="Arial"/>
          <w:color w:val="auto"/>
          <w:sz w:val="20"/>
          <w:szCs w:val="20"/>
        </w:rPr>
        <w:t>Training</w:t>
      </w:r>
    </w:p>
    <w:p w14:paraId="3E5E8DB7" w14:textId="77777777" w:rsidR="006D61AA" w:rsidRPr="009A5485" w:rsidRDefault="006D61AA" w:rsidP="00E95AD2">
      <w:pPr>
        <w:pStyle w:val="BodyText"/>
        <w:spacing w:before="0"/>
        <w:rPr>
          <w:rFonts w:cs="Arial"/>
        </w:rPr>
      </w:pPr>
      <w:r w:rsidRPr="008F69EC">
        <w:rPr>
          <w:rFonts w:cs="Arial"/>
        </w:rPr>
        <w:t>All relevant staff must receive adequate training</w:t>
      </w:r>
      <w:r w:rsidRPr="009A5485">
        <w:rPr>
          <w:rFonts w:cs="Arial"/>
        </w:rPr>
        <w:t xml:space="preserve"> on the Money Laundering Regulations 20</w:t>
      </w:r>
      <w:r w:rsidR="008966D3" w:rsidRPr="009A5485">
        <w:rPr>
          <w:rFonts w:cs="Arial"/>
        </w:rPr>
        <w:t>1</w:t>
      </w:r>
      <w:r w:rsidRPr="009A5485">
        <w:rPr>
          <w:rFonts w:cs="Arial"/>
        </w:rPr>
        <w:t xml:space="preserve">7, the Proceeds of Crime Act 2002, the Terrorism Act 2000, and related anti-terrorism legislation. They should also be made aware of the firm’s policies and procedures to prevent money laundering and combating terrorist financing. </w:t>
      </w:r>
    </w:p>
    <w:p w14:paraId="4C6F7BCC" w14:textId="2E27B3CA" w:rsidR="006D61AA" w:rsidRPr="009A5485" w:rsidRDefault="006D61AA" w:rsidP="00E95AD2">
      <w:pPr>
        <w:pStyle w:val="BodyText"/>
        <w:spacing w:before="0"/>
        <w:rPr>
          <w:rFonts w:cs="Arial"/>
        </w:rPr>
      </w:pPr>
      <w:r w:rsidRPr="009A5485">
        <w:rPr>
          <w:rFonts w:cs="Arial"/>
        </w:rPr>
        <w:t xml:space="preserve">Staff should also be given regular updates on identifying and dealing with suspicious transactions. This </w:t>
      </w:r>
      <w:r w:rsidR="00AC0BD5">
        <w:rPr>
          <w:rFonts w:cs="Arial"/>
        </w:rPr>
        <w:t>should</w:t>
      </w:r>
      <w:r w:rsidRPr="009A5485">
        <w:rPr>
          <w:rFonts w:cs="Arial"/>
        </w:rPr>
        <w:t xml:space="preserve"> be at least annually.</w:t>
      </w:r>
    </w:p>
    <w:p w14:paraId="6BED2489" w14:textId="77777777" w:rsidR="006D61AA" w:rsidRPr="009A5485" w:rsidRDefault="006D61AA" w:rsidP="00E95AD2">
      <w:pPr>
        <w:pStyle w:val="BodyText"/>
        <w:spacing w:before="0"/>
        <w:rPr>
          <w:rFonts w:cs="Arial"/>
        </w:rPr>
      </w:pPr>
      <w:r w:rsidRPr="009A5485">
        <w:rPr>
          <w:rFonts w:cs="Arial"/>
        </w:rPr>
        <w:t>New staff should receive introductory training as part of their induction process, unless they can demonstrate adequate knowledge as a result of training in previous firms. Nevertheless, they must be made fully aware of the firm’s policies and procedures.</w:t>
      </w:r>
    </w:p>
    <w:p w14:paraId="039F9D66" w14:textId="77777777" w:rsidR="006D61AA" w:rsidRPr="009A5485" w:rsidRDefault="006D61AA" w:rsidP="00E95AD2">
      <w:pPr>
        <w:pStyle w:val="Heading4"/>
        <w:spacing w:before="0" w:after="120"/>
        <w:rPr>
          <w:rStyle w:val="Hyperlink"/>
          <w:rFonts w:cs="Arial"/>
          <w:color w:val="auto"/>
          <w:sz w:val="20"/>
          <w:szCs w:val="20"/>
        </w:rPr>
      </w:pPr>
      <w:r w:rsidRPr="009A5485">
        <w:rPr>
          <w:rStyle w:val="Hyperlink"/>
          <w:rFonts w:cs="Arial"/>
          <w:color w:val="auto"/>
          <w:sz w:val="20"/>
          <w:szCs w:val="20"/>
        </w:rPr>
        <w:t>Internal control, monitoring and management of compliance</w:t>
      </w:r>
    </w:p>
    <w:p w14:paraId="1D660ED3" w14:textId="77777777" w:rsidR="006D61AA" w:rsidRPr="009A5485" w:rsidRDefault="006D61AA" w:rsidP="00E95AD2">
      <w:pPr>
        <w:pStyle w:val="BodyText"/>
        <w:spacing w:before="0"/>
        <w:rPr>
          <w:rFonts w:cs="Arial"/>
        </w:rPr>
      </w:pPr>
      <w:r w:rsidRPr="008F69EC">
        <w:rPr>
          <w:rFonts w:cs="Arial"/>
        </w:rPr>
        <w:t xml:space="preserve">The MLRO remains responsible for managing the firm’s reporting procedures, liaising with </w:t>
      </w:r>
      <w:r w:rsidR="00425760" w:rsidRPr="009A5485">
        <w:rPr>
          <w:rFonts w:cs="Arial"/>
        </w:rPr>
        <w:t>NCA</w:t>
      </w:r>
      <w:r w:rsidRPr="009A5485">
        <w:rPr>
          <w:rFonts w:cs="Arial"/>
        </w:rPr>
        <w:t xml:space="preserve"> where consent is required, keeping the firm’s policies and procedures up-to-date and communicating those policies and procedures to principals and staff. The MLRO also has overall responsibility for ensuring that the firm’s policies and procedures are complied with. This will involve periodic testing (at least annually) of the firm’s systems, including reviewing relevant records to ensure that the policies and procedures are operating properly.</w:t>
      </w:r>
    </w:p>
    <w:p w14:paraId="6F53740A" w14:textId="77777777" w:rsidR="006D61AA" w:rsidRPr="009A5485" w:rsidRDefault="006D61AA" w:rsidP="00E95AD2">
      <w:pPr>
        <w:pStyle w:val="BodyText"/>
        <w:spacing w:before="0"/>
        <w:rPr>
          <w:rFonts w:cs="Arial"/>
        </w:rPr>
      </w:pPr>
      <w:r w:rsidRPr="009A5485">
        <w:rPr>
          <w:rFonts w:cs="Arial"/>
        </w:rPr>
        <w:t>All principals and managers are responsible for ensuring that these policies, together with the accompanying procedures in the manual are followed for their clients.</w:t>
      </w:r>
    </w:p>
    <w:p w14:paraId="6F979718" w14:textId="77777777" w:rsidR="006D61AA" w:rsidRPr="009A5485" w:rsidRDefault="006D61AA" w:rsidP="00E95AD2">
      <w:pPr>
        <w:pStyle w:val="BodyText"/>
        <w:spacing w:before="0"/>
        <w:rPr>
          <w:rFonts w:cs="Arial"/>
        </w:rPr>
      </w:pPr>
      <w:r w:rsidRPr="009A5485">
        <w:rPr>
          <w:rFonts w:cs="Arial"/>
        </w:rPr>
        <w:t xml:space="preserve">The staff principal is responsible for ensuring that all principals and relevant staff have received adequate training and are aware of the firm’s policies and procedures. </w:t>
      </w:r>
    </w:p>
    <w:p w14:paraId="258C707A" w14:textId="77777777" w:rsidR="006D61AA" w:rsidRPr="009A5485" w:rsidRDefault="006D61AA" w:rsidP="00E95AD2">
      <w:pPr>
        <w:pStyle w:val="Heading4"/>
        <w:spacing w:before="0" w:after="120"/>
        <w:rPr>
          <w:rStyle w:val="Hyperlink"/>
          <w:rFonts w:cs="Arial"/>
          <w:color w:val="auto"/>
          <w:sz w:val="20"/>
          <w:szCs w:val="20"/>
        </w:rPr>
      </w:pPr>
      <w:r w:rsidRPr="009A5485">
        <w:rPr>
          <w:rStyle w:val="Hyperlink"/>
          <w:rFonts w:cs="Arial"/>
          <w:color w:val="auto"/>
          <w:sz w:val="20"/>
          <w:szCs w:val="20"/>
        </w:rPr>
        <w:t>Internal communication of such policies and procedures</w:t>
      </w:r>
    </w:p>
    <w:p w14:paraId="17C3BC6F" w14:textId="330D798D" w:rsidR="006D61AA" w:rsidRPr="009A5485" w:rsidRDefault="006D61AA" w:rsidP="00E95AD2">
      <w:pPr>
        <w:pStyle w:val="BodyText"/>
        <w:spacing w:before="0"/>
        <w:rPr>
          <w:rFonts w:cs="Arial"/>
        </w:rPr>
      </w:pPr>
      <w:r w:rsidRPr="008F69EC">
        <w:rPr>
          <w:rFonts w:cs="Arial"/>
        </w:rPr>
        <w:t>The firm’s procedures are to be found at</w:t>
      </w:r>
      <w:r w:rsidR="00072866" w:rsidRPr="009A5485">
        <w:rPr>
          <w:rFonts w:cs="Arial"/>
        </w:rPr>
        <w:t xml:space="preserve"> </w:t>
      </w:r>
      <w:r w:rsidR="00ED0E25">
        <w:rPr>
          <w:rFonts w:cs="Arial"/>
        </w:rPr>
        <w:t>[</w:t>
      </w:r>
      <w:r w:rsidRPr="009A5485">
        <w:rPr>
          <w:rFonts w:cs="Arial"/>
          <w:highlight w:val="yellow"/>
        </w:rPr>
        <w:t>specify location, and whether in electronic or paper form</w:t>
      </w:r>
      <w:r w:rsidR="00ED0E25">
        <w:rPr>
          <w:rFonts w:cs="Arial"/>
          <w:highlight w:val="yellow"/>
        </w:rPr>
        <w:t>]</w:t>
      </w:r>
      <w:r w:rsidRPr="009A5485">
        <w:rPr>
          <w:rFonts w:cs="Arial"/>
          <w:highlight w:val="yellow"/>
        </w:rPr>
        <w:t>.</w:t>
      </w:r>
    </w:p>
    <w:p w14:paraId="4B20A612" w14:textId="77777777" w:rsidR="006D61AA" w:rsidRPr="009A5485" w:rsidRDefault="006D61AA" w:rsidP="00E95AD2">
      <w:pPr>
        <w:pStyle w:val="BodyText"/>
        <w:spacing w:before="0"/>
        <w:rPr>
          <w:rFonts w:cs="Arial"/>
        </w:rPr>
      </w:pPr>
      <w:r w:rsidRPr="009A5485">
        <w:rPr>
          <w:rFonts w:cs="Arial"/>
        </w:rPr>
        <w:t>All principals and staff will sign an annual “</w:t>
      </w:r>
      <w:r w:rsidR="00072866" w:rsidRPr="009A5485">
        <w:rPr>
          <w:rFonts w:cs="Arial"/>
        </w:rPr>
        <w:t xml:space="preserve">Confirmation </w:t>
      </w:r>
      <w:r w:rsidRPr="009A5485">
        <w:rPr>
          <w:rFonts w:cs="Arial"/>
        </w:rPr>
        <w:t xml:space="preserve">of money laundering </w:t>
      </w:r>
      <w:r w:rsidR="00072866" w:rsidRPr="009A5485">
        <w:rPr>
          <w:rFonts w:cs="Arial"/>
        </w:rPr>
        <w:t>awareness</w:t>
      </w:r>
      <w:r w:rsidRPr="009A5485">
        <w:rPr>
          <w:rFonts w:cs="Arial"/>
        </w:rPr>
        <w:t>” form to confirm that they have had the relevant training and will comply with the firm’s procedures.</w:t>
      </w:r>
    </w:p>
    <w:p w14:paraId="3E8FDFC6" w14:textId="77777777" w:rsidR="00E136F8" w:rsidRPr="009A5485" w:rsidRDefault="00E136F8" w:rsidP="00703CA0">
      <w:pPr>
        <w:pStyle w:val="Header"/>
      </w:pPr>
    </w:p>
    <w:p w14:paraId="3088839A" w14:textId="77777777" w:rsidR="002F3E8B" w:rsidRPr="009A5485" w:rsidRDefault="002F3E8B" w:rsidP="00703CA0">
      <w:pPr>
        <w:pStyle w:val="Header"/>
      </w:pPr>
    </w:p>
    <w:sectPr w:rsidR="002F3E8B" w:rsidRPr="009A5485" w:rsidSect="005136FD">
      <w:pgSz w:w="11906" w:h="16838"/>
      <w:pgMar w:top="1440" w:right="1797" w:bottom="709" w:left="1797"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F5EF2" w14:textId="77777777" w:rsidR="00563249" w:rsidRDefault="00563249" w:rsidP="00536995">
      <w:pPr>
        <w:pStyle w:val="BodyText"/>
      </w:pPr>
      <w:r>
        <w:separator/>
      </w:r>
    </w:p>
  </w:endnote>
  <w:endnote w:type="continuationSeparator" w:id="0">
    <w:p w14:paraId="66FAD784" w14:textId="77777777" w:rsidR="00563249" w:rsidRDefault="00563249" w:rsidP="00536995">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76612" w14:textId="77777777" w:rsidR="00563249" w:rsidRDefault="00563249" w:rsidP="00536995">
      <w:pPr>
        <w:pStyle w:val="BodyText"/>
      </w:pPr>
      <w:r>
        <w:separator/>
      </w:r>
    </w:p>
  </w:footnote>
  <w:footnote w:type="continuationSeparator" w:id="0">
    <w:p w14:paraId="3EE766C7" w14:textId="77777777" w:rsidR="00563249" w:rsidRDefault="00563249" w:rsidP="00536995">
      <w:pPr>
        <w:pStyle w:val="Body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4D5806"/>
    <w:multiLevelType w:val="hybridMultilevel"/>
    <w:tmpl w:val="D80CF67A"/>
    <w:lvl w:ilvl="0" w:tplc="60B4576E">
      <w:start w:val="1"/>
      <w:numFmt w:val="decimal"/>
      <w:lvlText w:val="%1."/>
      <w:lvlJc w:val="left"/>
      <w:pPr>
        <w:tabs>
          <w:tab w:val="num" w:pos="360"/>
        </w:tabs>
        <w:ind w:left="360" w:hanging="360"/>
      </w:pPr>
      <w:rPr>
        <w:b/>
        <w:bCs/>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429057A2"/>
    <w:multiLevelType w:val="hybridMultilevel"/>
    <w:tmpl w:val="5C2A3E2E"/>
    <w:lvl w:ilvl="0" w:tplc="04090001">
      <w:start w:val="1"/>
      <w:numFmt w:val="bullet"/>
      <w:pStyle w:val="ListBullet"/>
      <w:lvlText w:val=""/>
      <w:lvlJc w:val="left"/>
      <w:pPr>
        <w:tabs>
          <w:tab w:val="num" w:pos="360"/>
        </w:tabs>
        <w:ind w:left="360" w:hanging="360"/>
      </w:pPr>
      <w:rPr>
        <w:rFonts w:ascii="Symbol" w:hAnsi="Symbo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441E7F95"/>
    <w:multiLevelType w:val="hybridMultilevel"/>
    <w:tmpl w:val="A6B4EB82"/>
    <w:lvl w:ilvl="0" w:tplc="A158417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A94326"/>
    <w:multiLevelType w:val="hybridMultilevel"/>
    <w:tmpl w:val="A99E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0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6AF"/>
    <w:rsid w:val="00001E0F"/>
    <w:rsid w:val="00011FEA"/>
    <w:rsid w:val="00025225"/>
    <w:rsid w:val="00040FFA"/>
    <w:rsid w:val="00065224"/>
    <w:rsid w:val="00072866"/>
    <w:rsid w:val="00090517"/>
    <w:rsid w:val="000D35B5"/>
    <w:rsid w:val="000E20AC"/>
    <w:rsid w:val="000E599C"/>
    <w:rsid w:val="000F7F69"/>
    <w:rsid w:val="00103450"/>
    <w:rsid w:val="0011329D"/>
    <w:rsid w:val="0012081B"/>
    <w:rsid w:val="00120AC3"/>
    <w:rsid w:val="001219F2"/>
    <w:rsid w:val="00164F40"/>
    <w:rsid w:val="00191BDC"/>
    <w:rsid w:val="001A0A25"/>
    <w:rsid w:val="001B737B"/>
    <w:rsid w:val="001F6B33"/>
    <w:rsid w:val="00211FF1"/>
    <w:rsid w:val="00235C26"/>
    <w:rsid w:val="002704AD"/>
    <w:rsid w:val="002A07F0"/>
    <w:rsid w:val="002F3E8B"/>
    <w:rsid w:val="00337545"/>
    <w:rsid w:val="0034196C"/>
    <w:rsid w:val="00345E40"/>
    <w:rsid w:val="00374159"/>
    <w:rsid w:val="003771C7"/>
    <w:rsid w:val="003A6A76"/>
    <w:rsid w:val="00425760"/>
    <w:rsid w:val="004278E0"/>
    <w:rsid w:val="00427B07"/>
    <w:rsid w:val="0045106D"/>
    <w:rsid w:val="0045242D"/>
    <w:rsid w:val="00462FF1"/>
    <w:rsid w:val="00471BB6"/>
    <w:rsid w:val="00493A28"/>
    <w:rsid w:val="00496962"/>
    <w:rsid w:val="004D57F4"/>
    <w:rsid w:val="004D6FC0"/>
    <w:rsid w:val="004F55EB"/>
    <w:rsid w:val="00501606"/>
    <w:rsid w:val="00512731"/>
    <w:rsid w:val="005136FD"/>
    <w:rsid w:val="00536995"/>
    <w:rsid w:val="00541802"/>
    <w:rsid w:val="00563249"/>
    <w:rsid w:val="005B0113"/>
    <w:rsid w:val="005C5CA5"/>
    <w:rsid w:val="005E064E"/>
    <w:rsid w:val="005F2AB3"/>
    <w:rsid w:val="00603B35"/>
    <w:rsid w:val="00613212"/>
    <w:rsid w:val="00632A1B"/>
    <w:rsid w:val="006D61AA"/>
    <w:rsid w:val="00703CA0"/>
    <w:rsid w:val="0070539C"/>
    <w:rsid w:val="00724155"/>
    <w:rsid w:val="00760AE1"/>
    <w:rsid w:val="00774949"/>
    <w:rsid w:val="007974CC"/>
    <w:rsid w:val="007A6AD1"/>
    <w:rsid w:val="007E2FE3"/>
    <w:rsid w:val="00800A8F"/>
    <w:rsid w:val="00844725"/>
    <w:rsid w:val="0089225E"/>
    <w:rsid w:val="008966D3"/>
    <w:rsid w:val="008B203F"/>
    <w:rsid w:val="008C456D"/>
    <w:rsid w:val="008C4B19"/>
    <w:rsid w:val="008F0ACB"/>
    <w:rsid w:val="008F69EC"/>
    <w:rsid w:val="009151EC"/>
    <w:rsid w:val="0094109C"/>
    <w:rsid w:val="0098722C"/>
    <w:rsid w:val="009A5485"/>
    <w:rsid w:val="009A76A2"/>
    <w:rsid w:val="009F4CE2"/>
    <w:rsid w:val="00A34C4D"/>
    <w:rsid w:val="00A45429"/>
    <w:rsid w:val="00AA4E7E"/>
    <w:rsid w:val="00AC0BD5"/>
    <w:rsid w:val="00AC7535"/>
    <w:rsid w:val="00AE5C88"/>
    <w:rsid w:val="00B355A4"/>
    <w:rsid w:val="00B42312"/>
    <w:rsid w:val="00B511CE"/>
    <w:rsid w:val="00B61EBF"/>
    <w:rsid w:val="00C05E60"/>
    <w:rsid w:val="00C22341"/>
    <w:rsid w:val="00C8076E"/>
    <w:rsid w:val="00C87AC6"/>
    <w:rsid w:val="00CC7D53"/>
    <w:rsid w:val="00CE3657"/>
    <w:rsid w:val="00D15016"/>
    <w:rsid w:val="00D70A8C"/>
    <w:rsid w:val="00D9202C"/>
    <w:rsid w:val="00DD76AF"/>
    <w:rsid w:val="00DF0E55"/>
    <w:rsid w:val="00E04804"/>
    <w:rsid w:val="00E136F8"/>
    <w:rsid w:val="00E45078"/>
    <w:rsid w:val="00E95AD2"/>
    <w:rsid w:val="00EA57CA"/>
    <w:rsid w:val="00EC745F"/>
    <w:rsid w:val="00ED0E25"/>
    <w:rsid w:val="00EE67D3"/>
    <w:rsid w:val="00F40989"/>
    <w:rsid w:val="00F669A7"/>
    <w:rsid w:val="00FB2531"/>
    <w:rsid w:val="00FC2F21"/>
    <w:rsid w:val="00FD1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92411"/>
  <w15:chartTrackingRefBased/>
  <w15:docId w15:val="{007B1ECF-2774-4FEA-8855-6E3C06D5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703CA0"/>
    <w:pPr>
      <w:spacing w:before="120" w:after="120"/>
      <w:jc w:val="both"/>
    </w:pPr>
    <w:rPr>
      <w:rFonts w:ascii="Arial" w:hAnsi="Arial"/>
      <w:szCs w:val="24"/>
      <w:lang w:eastAsia="en-US"/>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Heading2"/>
    <w:next w:val="BodyText"/>
    <w:qFormat/>
    <w:pPr>
      <w:keepLines/>
      <w:tabs>
        <w:tab w:val="left" w:pos="1080"/>
      </w:tabs>
      <w:spacing w:before="120" w:after="120"/>
      <w:outlineLvl w:val="2"/>
    </w:pPr>
    <w:rPr>
      <w:rFonts w:cs="Times New Roman"/>
      <w:kern w:val="28"/>
      <w:szCs w:val="20"/>
    </w:rPr>
  </w:style>
  <w:style w:type="paragraph" w:styleId="Heading4">
    <w:name w:val="heading 4"/>
    <w:basedOn w:val="Normal"/>
    <w:next w:val="Normal"/>
    <w:qFormat/>
    <w:rsid w:val="0009051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Body Text Char4 Char,Body Text Char2 Char1 Char,Body Text Char Char1 Char1 Char,Body Text Char1 Char Char Char Char1 Char,Body Text Char Char Char Char Char Char1 Char,Body Text Char1 Char Char2 Char"/>
    <w:pPr>
      <w:spacing w:before="120" w:after="120"/>
      <w:jc w:val="both"/>
    </w:pPr>
    <w:rPr>
      <w:rFonts w:ascii="Arial" w:hAnsi="Arial"/>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sid w:val="00090517"/>
    <w:rPr>
      <w:rFonts w:ascii="Arial" w:hAnsi="Arial"/>
      <w:color w:val="0000FF"/>
      <w:u w:val="none"/>
    </w:rPr>
  </w:style>
  <w:style w:type="paragraph" w:styleId="ListBullet">
    <w:name w:val="List Bullet"/>
    <w:basedOn w:val="BodyText"/>
    <w:next w:val="BodyText"/>
    <w:link w:val="ListBulletChar"/>
    <w:autoRedefine/>
    <w:rsid w:val="00090517"/>
    <w:pPr>
      <w:widowControl w:val="0"/>
      <w:numPr>
        <w:numId w:val="1"/>
      </w:numPr>
      <w:tabs>
        <w:tab w:val="right" w:pos="5954"/>
      </w:tabs>
      <w:spacing w:before="60" w:after="60"/>
      <w:jc w:val="left"/>
    </w:pPr>
  </w:style>
  <w:style w:type="character" w:customStyle="1" w:styleId="ListBulletChar">
    <w:name w:val="List Bullet Char"/>
    <w:link w:val="ListBullet"/>
    <w:rsid w:val="00090517"/>
    <w:rPr>
      <w:rFonts w:ascii="Arial" w:hAnsi="Arial"/>
      <w:lang w:val="en-GB" w:eastAsia="en-US" w:bidi="ar-SA"/>
    </w:rPr>
  </w:style>
  <w:style w:type="paragraph" w:styleId="BalloonText">
    <w:name w:val="Balloon Text"/>
    <w:basedOn w:val="Normal"/>
    <w:semiHidden/>
    <w:rsid w:val="002F3E8B"/>
    <w:rPr>
      <w:rFonts w:ascii="Tahoma" w:hAnsi="Tahoma" w:cs="Tahoma"/>
      <w:sz w:val="16"/>
      <w:szCs w:val="16"/>
    </w:rPr>
  </w:style>
  <w:style w:type="character" w:styleId="CommentReference">
    <w:name w:val="annotation reference"/>
    <w:rsid w:val="00C05E60"/>
    <w:rPr>
      <w:sz w:val="16"/>
      <w:szCs w:val="16"/>
    </w:rPr>
  </w:style>
  <w:style w:type="paragraph" w:styleId="CommentText">
    <w:name w:val="annotation text"/>
    <w:basedOn w:val="Normal"/>
    <w:link w:val="CommentTextChar"/>
    <w:rsid w:val="00C05E60"/>
    <w:rPr>
      <w:szCs w:val="20"/>
    </w:rPr>
  </w:style>
  <w:style w:type="character" w:customStyle="1" w:styleId="CommentTextChar">
    <w:name w:val="Comment Text Char"/>
    <w:link w:val="CommentText"/>
    <w:rsid w:val="00C05E60"/>
    <w:rPr>
      <w:rFonts w:ascii="Arial" w:hAnsi="Arial"/>
      <w:lang w:eastAsia="en-US"/>
    </w:rPr>
  </w:style>
  <w:style w:type="paragraph" w:styleId="CommentSubject">
    <w:name w:val="annotation subject"/>
    <w:basedOn w:val="CommentText"/>
    <w:next w:val="CommentText"/>
    <w:link w:val="CommentSubjectChar"/>
    <w:rsid w:val="00C05E60"/>
    <w:rPr>
      <w:b/>
      <w:bCs/>
    </w:rPr>
  </w:style>
  <w:style w:type="character" w:customStyle="1" w:styleId="CommentSubjectChar">
    <w:name w:val="Comment Subject Char"/>
    <w:link w:val="CommentSubject"/>
    <w:rsid w:val="00C05E6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912320">
      <w:bodyDiv w:val="1"/>
      <w:marLeft w:val="0"/>
      <w:marRight w:val="0"/>
      <w:marTop w:val="0"/>
      <w:marBottom w:val="0"/>
      <w:divBdr>
        <w:top w:val="none" w:sz="0" w:space="0" w:color="auto"/>
        <w:left w:val="none" w:sz="0" w:space="0" w:color="auto"/>
        <w:bottom w:val="none" w:sz="0" w:space="0" w:color="auto"/>
        <w:right w:val="none" w:sz="0" w:space="0" w:color="auto"/>
      </w:divBdr>
    </w:div>
    <w:div w:id="2121415049">
      <w:bodyDiv w:val="1"/>
      <w:marLeft w:val="0"/>
      <w:marRight w:val="0"/>
      <w:marTop w:val="0"/>
      <w:marBottom w:val="0"/>
      <w:divBdr>
        <w:top w:val="none" w:sz="0" w:space="0" w:color="auto"/>
        <w:left w:val="none" w:sz="0" w:space="0" w:color="auto"/>
        <w:bottom w:val="none" w:sz="0" w:space="0" w:color="auto"/>
        <w:right w:val="none" w:sz="0" w:space="0" w:color="auto"/>
      </w:divBdr>
      <w:divsChild>
        <w:div w:id="1125122478">
          <w:marLeft w:val="0"/>
          <w:marRight w:val="0"/>
          <w:marTop w:val="0"/>
          <w:marBottom w:val="0"/>
          <w:divBdr>
            <w:top w:val="none" w:sz="0" w:space="0" w:color="auto"/>
            <w:left w:val="none" w:sz="0" w:space="0" w:color="auto"/>
            <w:bottom w:val="none" w:sz="0" w:space="0" w:color="auto"/>
            <w:right w:val="none" w:sz="0" w:space="0" w:color="auto"/>
          </w:divBdr>
        </w:div>
        <w:div w:id="15618288">
          <w:marLeft w:val="0"/>
          <w:marRight w:val="0"/>
          <w:marTop w:val="0"/>
          <w:marBottom w:val="0"/>
          <w:divBdr>
            <w:top w:val="none" w:sz="0" w:space="0" w:color="auto"/>
            <w:left w:val="none" w:sz="0" w:space="0" w:color="auto"/>
            <w:bottom w:val="none" w:sz="0" w:space="0" w:color="auto"/>
            <w:right w:val="none" w:sz="0" w:space="0" w:color="auto"/>
          </w:divBdr>
        </w:div>
        <w:div w:id="562450717">
          <w:marLeft w:val="0"/>
          <w:marRight w:val="0"/>
          <w:marTop w:val="0"/>
          <w:marBottom w:val="0"/>
          <w:divBdr>
            <w:top w:val="none" w:sz="0" w:space="0" w:color="auto"/>
            <w:left w:val="none" w:sz="0" w:space="0" w:color="auto"/>
            <w:bottom w:val="none" w:sz="0" w:space="0" w:color="auto"/>
            <w:right w:val="none" w:sz="0" w:space="0" w:color="auto"/>
          </w:divBdr>
        </w:div>
        <w:div w:id="2012022264">
          <w:marLeft w:val="0"/>
          <w:marRight w:val="0"/>
          <w:marTop w:val="0"/>
          <w:marBottom w:val="0"/>
          <w:divBdr>
            <w:top w:val="none" w:sz="0" w:space="0" w:color="auto"/>
            <w:left w:val="none" w:sz="0" w:space="0" w:color="auto"/>
            <w:bottom w:val="none" w:sz="0" w:space="0" w:color="auto"/>
            <w:right w:val="none" w:sz="0" w:space="0" w:color="auto"/>
          </w:divBdr>
        </w:div>
        <w:div w:id="335693903">
          <w:marLeft w:val="0"/>
          <w:marRight w:val="0"/>
          <w:marTop w:val="0"/>
          <w:marBottom w:val="0"/>
          <w:divBdr>
            <w:top w:val="none" w:sz="0" w:space="0" w:color="auto"/>
            <w:left w:val="none" w:sz="0" w:space="0" w:color="auto"/>
            <w:bottom w:val="none" w:sz="0" w:space="0" w:color="auto"/>
            <w:right w:val="none" w:sz="0" w:space="0" w:color="auto"/>
          </w:divBdr>
        </w:div>
        <w:div w:id="559829917">
          <w:marLeft w:val="0"/>
          <w:marRight w:val="0"/>
          <w:marTop w:val="0"/>
          <w:marBottom w:val="0"/>
          <w:divBdr>
            <w:top w:val="none" w:sz="0" w:space="0" w:color="auto"/>
            <w:left w:val="none" w:sz="0" w:space="0" w:color="auto"/>
            <w:bottom w:val="none" w:sz="0" w:space="0" w:color="auto"/>
            <w:right w:val="none" w:sz="0" w:space="0" w:color="auto"/>
          </w:divBdr>
        </w:div>
        <w:div w:id="1058044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as1854.sharepoint.com/sites/Practiceteam482/Shared%20Documents/Downloads/A14.14%20example%20anti%20bribery%20policies%20and%20procedures)%20(3).do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58CB58330DE6489439988E1A6A5EBB" ma:contentTypeVersion="12" ma:contentTypeDescription="Create a new document." ma:contentTypeScope="" ma:versionID="81511e685a0e121a3ea4d9ca586e8be6">
  <xsd:schema xmlns:xsd="http://www.w3.org/2001/XMLSchema" xmlns:xs="http://www.w3.org/2001/XMLSchema" xmlns:p="http://schemas.microsoft.com/office/2006/metadata/properties" xmlns:ns2="607b35c9-358c-4a12-8b61-a6ae96df6ef5" xmlns:ns3="52d05684-39aa-4c0d-8cff-5e0cc80d847a" targetNamespace="http://schemas.microsoft.com/office/2006/metadata/properties" ma:root="true" ma:fieldsID="990daee0832e016215929bd9e38e51ac" ns2:_="" ns3:_="">
    <xsd:import namespace="607b35c9-358c-4a12-8b61-a6ae96df6ef5"/>
    <xsd:import namespace="52d05684-39aa-4c0d-8cff-5e0cc80d8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b35c9-358c-4a12-8b61-a6ae96df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05684-39aa-4c0d-8cff-5e0cc80d84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2d05684-39aa-4c0d-8cff-5e0cc80d847a">
      <UserInfo>
        <DisplayName>ICAS Communications</DisplayName>
        <AccountId>31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14BA2-4EA3-44F6-A0C8-AE623A7083E0}">
  <ds:schemaRefs>
    <ds:schemaRef ds:uri="http://schemas.openxmlformats.org/officeDocument/2006/bibliography"/>
  </ds:schemaRefs>
</ds:datastoreItem>
</file>

<file path=customXml/itemProps2.xml><?xml version="1.0" encoding="utf-8"?>
<ds:datastoreItem xmlns:ds="http://schemas.openxmlformats.org/officeDocument/2006/customXml" ds:itemID="{94612809-CEC2-4914-82A6-5F8807057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b35c9-358c-4a12-8b61-a6ae96df6ef5"/>
    <ds:schemaRef ds:uri="52d05684-39aa-4c0d-8cff-5e0cc80d8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47E4F-CFE0-4381-BE98-B4F6451E3968}">
  <ds:schemaRefs>
    <ds:schemaRef ds:uri="http://purl.org/dc/elements/1.1/"/>
    <ds:schemaRef ds:uri="http://schemas.microsoft.com/office/2006/metadata/properties"/>
    <ds:schemaRef ds:uri="607b35c9-358c-4a12-8b61-a6ae96df6ef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2d05684-39aa-4c0d-8cff-5e0cc80d847a"/>
    <ds:schemaRef ds:uri="http://www.w3.org/XML/1998/namespace"/>
    <ds:schemaRef ds:uri="http://purl.org/dc/dcmitype/"/>
  </ds:schemaRefs>
</ds:datastoreItem>
</file>

<file path=customXml/itemProps4.xml><?xml version="1.0" encoding="utf-8"?>
<ds:datastoreItem xmlns:ds="http://schemas.openxmlformats.org/officeDocument/2006/customXml" ds:itemID="{82388352-8701-49FE-B9B2-355858B9E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Acknowledgement by MLRO, where consent is required</vt:lpstr>
    </vt:vector>
  </TitlesOfParts>
  <Company>SWAT Ltd</Company>
  <LinksUpToDate>false</LinksUpToDate>
  <CharactersWithSpaces>10470</CharactersWithSpaces>
  <SharedDoc>false</SharedDoc>
  <HLinks>
    <vt:vector size="6" baseType="variant">
      <vt:variant>
        <vt:i4>8061046</vt:i4>
      </vt:variant>
      <vt:variant>
        <vt:i4>0</vt:i4>
      </vt:variant>
      <vt:variant>
        <vt:i4>0</vt:i4>
      </vt:variant>
      <vt:variant>
        <vt:i4>5</vt:i4>
      </vt:variant>
      <vt:variant>
        <vt:lpwstr>../../Downloads/A14.14 example anti bribery policies and procedures) (3).doc</vt:lpwstr>
      </vt:variant>
      <vt:variant>
        <vt:lpwstr>N1401a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by MLRO, where consent is required</dc:title>
  <dc:subject/>
  <dc:creator>MikeS</dc:creator>
  <cp:keywords/>
  <dc:description/>
  <cp:lastModifiedBy>David Menzies</cp:lastModifiedBy>
  <cp:revision>2</cp:revision>
  <cp:lastPrinted>2013-05-16T09:07:00Z</cp:lastPrinted>
  <dcterms:created xsi:type="dcterms:W3CDTF">2021-03-02T17:53:00Z</dcterms:created>
  <dcterms:modified xsi:type="dcterms:W3CDTF">2021-03-02T17:53:00Z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0x010100B358CB58330DE6489439988E1A6A5EBB</vt:lpwstr>
  </property>
</Properties>
</file>